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B84F34" w14:textId="77777777" w:rsidR="00822F32" w:rsidRDefault="00822F32">
      <w:pPr>
        <w:pStyle w:val="Pzwei"/>
      </w:pPr>
      <w:r>
        <w:t>Presseaussendung</w:t>
      </w:r>
    </w:p>
    <w:p w14:paraId="17C363DF" w14:textId="77777777" w:rsidR="00822F32" w:rsidRDefault="00822F32">
      <w:pPr>
        <w:pStyle w:val="Pzwei"/>
      </w:pPr>
      <w:r>
        <w:t>Energieinstitut</w:t>
      </w:r>
      <w:r>
        <w:rPr>
          <w:rFonts w:eastAsia="Arial"/>
        </w:rPr>
        <w:t xml:space="preserve"> </w:t>
      </w:r>
      <w:r>
        <w:t>Vorarlberg</w:t>
      </w:r>
    </w:p>
    <w:p w14:paraId="3DDB1DBB" w14:textId="77777777" w:rsidR="00822F32" w:rsidRDefault="00822F32">
      <w:pPr>
        <w:pStyle w:val="Pzwei"/>
      </w:pPr>
    </w:p>
    <w:p w14:paraId="1A105FDC" w14:textId="77777777" w:rsidR="00C46B53" w:rsidRDefault="00C46B53">
      <w:pPr>
        <w:pStyle w:val="Pzwei"/>
      </w:pPr>
    </w:p>
    <w:p w14:paraId="013A34FF" w14:textId="77777777" w:rsidR="002D0E3D" w:rsidRDefault="002D0E3D">
      <w:pPr>
        <w:pStyle w:val="Pzwei"/>
        <w:rPr>
          <w:b/>
        </w:rPr>
      </w:pPr>
      <w:r>
        <w:rPr>
          <w:b/>
        </w:rPr>
        <w:t>Koblach steigert Energieeffizienz und verteidigt 3-„e“-Status</w:t>
      </w:r>
    </w:p>
    <w:p w14:paraId="310FC559" w14:textId="77777777" w:rsidR="009767B9" w:rsidRPr="0071361C" w:rsidRDefault="0071361C">
      <w:pPr>
        <w:pStyle w:val="Pzwei"/>
        <w:rPr>
          <w:bCs/>
        </w:rPr>
      </w:pPr>
      <w:r w:rsidRPr="0071361C">
        <w:rPr>
          <w:bCs/>
        </w:rPr>
        <w:t>Die Kummenberg-</w:t>
      </w:r>
      <w:r w:rsidR="002D0E3D" w:rsidRPr="0071361C">
        <w:rPr>
          <w:bCs/>
        </w:rPr>
        <w:t>Gemeinde setzt auf</w:t>
      </w:r>
      <w:r w:rsidRPr="0071361C">
        <w:rPr>
          <w:bCs/>
        </w:rPr>
        <w:t xml:space="preserve"> Radfahren und Nachhaltigkeit </w:t>
      </w:r>
    </w:p>
    <w:p w14:paraId="4512AF57" w14:textId="77777777" w:rsidR="001015D2" w:rsidRPr="00F11A73" w:rsidRDefault="001015D2">
      <w:pPr>
        <w:pStyle w:val="Pzwei"/>
      </w:pPr>
    </w:p>
    <w:p w14:paraId="78DD70EF" w14:textId="7F598B63" w:rsidR="00706C04" w:rsidRPr="00287C3A" w:rsidRDefault="00F6538C">
      <w:pPr>
        <w:pStyle w:val="Pzwei"/>
        <w:rPr>
          <w:i/>
        </w:rPr>
      </w:pPr>
      <w:r w:rsidRPr="00287C3A">
        <w:rPr>
          <w:i/>
        </w:rPr>
        <w:t xml:space="preserve">Dornbirn, </w:t>
      </w:r>
      <w:r w:rsidR="00A25898">
        <w:rPr>
          <w:i/>
        </w:rPr>
        <w:t>1</w:t>
      </w:r>
      <w:r w:rsidR="009767B9" w:rsidRPr="00287C3A">
        <w:rPr>
          <w:i/>
        </w:rPr>
        <w:t xml:space="preserve">. </w:t>
      </w:r>
      <w:r w:rsidR="00ED35A6">
        <w:rPr>
          <w:i/>
        </w:rPr>
        <w:t>Dezember</w:t>
      </w:r>
      <w:r w:rsidR="005534A5" w:rsidRPr="00287C3A">
        <w:rPr>
          <w:i/>
        </w:rPr>
        <w:t xml:space="preserve"> </w:t>
      </w:r>
      <w:r w:rsidR="009767B9" w:rsidRPr="00287C3A">
        <w:rPr>
          <w:i/>
        </w:rPr>
        <w:t>20</w:t>
      </w:r>
      <w:r w:rsidR="005534A5" w:rsidRPr="00287C3A">
        <w:rPr>
          <w:i/>
        </w:rPr>
        <w:t>20</w:t>
      </w:r>
      <w:r w:rsidR="009767B9" w:rsidRPr="00287C3A">
        <w:rPr>
          <w:i/>
        </w:rPr>
        <w:t xml:space="preserve"> –</w:t>
      </w:r>
      <w:r w:rsidR="008375B4" w:rsidRPr="00287C3A">
        <w:rPr>
          <w:i/>
        </w:rPr>
        <w:t xml:space="preserve"> Die Hälfte aller Vorarlberger Gemeinden, also 48, </w:t>
      </w:r>
      <w:r w:rsidR="007C3402" w:rsidRPr="00287C3A">
        <w:rPr>
          <w:i/>
        </w:rPr>
        <w:t xml:space="preserve">sind </w:t>
      </w:r>
      <w:r w:rsidR="008375B4" w:rsidRPr="00287C3A">
        <w:rPr>
          <w:i/>
        </w:rPr>
        <w:t>mittlerweile i</w:t>
      </w:r>
      <w:r w:rsidR="00E67D5B" w:rsidRPr="00287C3A">
        <w:rPr>
          <w:i/>
        </w:rPr>
        <w:t>m Landesprogramm</w:t>
      </w:r>
      <w:r w:rsidR="00EC1EC4" w:rsidRPr="00287C3A">
        <w:rPr>
          <w:i/>
        </w:rPr>
        <w:t xml:space="preserve"> für energieeffiziente Gemeinden</w:t>
      </w:r>
      <w:r w:rsidR="00E67D5B" w:rsidRPr="00287C3A">
        <w:rPr>
          <w:i/>
        </w:rPr>
        <w:t xml:space="preserve"> </w:t>
      </w:r>
      <w:r w:rsidR="00922619" w:rsidRPr="00287C3A">
        <w:rPr>
          <w:i/>
        </w:rPr>
        <w:t>aktiv</w:t>
      </w:r>
      <w:r w:rsidR="008375B4" w:rsidRPr="00287C3A">
        <w:rPr>
          <w:i/>
        </w:rPr>
        <w:t>. Z</w:t>
      </w:r>
      <w:r w:rsidR="005534A5" w:rsidRPr="00287C3A">
        <w:rPr>
          <w:i/>
        </w:rPr>
        <w:t xml:space="preserve">ehn </w:t>
      </w:r>
      <w:r w:rsidR="00922619" w:rsidRPr="00287C3A">
        <w:rPr>
          <w:i/>
        </w:rPr>
        <w:t>davon traten heuer z</w:t>
      </w:r>
      <w:r w:rsidR="00E67D5B" w:rsidRPr="00287C3A">
        <w:rPr>
          <w:i/>
        </w:rPr>
        <w:t xml:space="preserve">um Audit </w:t>
      </w:r>
      <w:r w:rsidR="00922619" w:rsidRPr="00287C3A">
        <w:rPr>
          <w:i/>
        </w:rPr>
        <w:t>an</w:t>
      </w:r>
      <w:r w:rsidR="00ED35A6">
        <w:rPr>
          <w:i/>
        </w:rPr>
        <w:t>. A</w:t>
      </w:r>
      <w:r w:rsidR="0071361C">
        <w:rPr>
          <w:i/>
        </w:rPr>
        <w:t>us dem Bezirk Feldkirch stellte sich Koblach der Wertung: Mit fünf Prozentpunkten mehr sicherte sich die Kummenberg-Gemeinde</w:t>
      </w:r>
      <w:r w:rsidR="007C3D26">
        <w:rPr>
          <w:i/>
        </w:rPr>
        <w:t xml:space="preserve"> erneut</w:t>
      </w:r>
      <w:r w:rsidR="0071361C">
        <w:rPr>
          <w:i/>
        </w:rPr>
        <w:t xml:space="preserve"> 3 „e“. </w:t>
      </w:r>
      <w:r w:rsidR="007C3402" w:rsidRPr="00287C3A">
        <w:rPr>
          <w:i/>
        </w:rPr>
        <w:t xml:space="preserve">Pandemiebedingt fand dieses Jahr kein Event statt. </w:t>
      </w:r>
    </w:p>
    <w:p w14:paraId="62427E8D" w14:textId="77777777" w:rsidR="00922619" w:rsidRDefault="00922619">
      <w:pPr>
        <w:pStyle w:val="Pzwei"/>
      </w:pPr>
    </w:p>
    <w:p w14:paraId="2BFDDFA2" w14:textId="3F0464E8" w:rsidR="008974EF" w:rsidRDefault="00192197">
      <w:pPr>
        <w:pStyle w:val="Pzwei"/>
      </w:pPr>
      <w:r>
        <w:t xml:space="preserve">Seit über 20 Jahren setzen sich die Vorarlberger Gemeinden für </w:t>
      </w:r>
      <w:r w:rsidR="00287C3A">
        <w:t>den</w:t>
      </w:r>
      <w:r w:rsidR="00997712">
        <w:t xml:space="preserve"> Klimaschutz</w:t>
      </w:r>
      <w:r>
        <w:t xml:space="preserve"> ein. </w:t>
      </w:r>
      <w:r w:rsidR="00287C3A">
        <w:t xml:space="preserve">Als 48. </w:t>
      </w:r>
      <w:r w:rsidR="00287C3A">
        <w:rPr>
          <w:iCs/>
        </w:rPr>
        <w:t xml:space="preserve">Mitglied </w:t>
      </w:r>
      <w:r>
        <w:t xml:space="preserve">ist heuer </w:t>
      </w:r>
      <w:r w:rsidR="00287C3A">
        <w:t xml:space="preserve">Andelsbuch </w:t>
      </w:r>
      <w:r>
        <w:rPr>
          <w:iCs/>
        </w:rPr>
        <w:t xml:space="preserve">dem e5-Programm beigetreten. Damit leben 85 Prozent der Vorarlberger Bevölkerung in e5-Gemeinden. </w:t>
      </w:r>
      <w:r w:rsidR="00FB7D08">
        <w:t>Alle vier Jahre müssen sie sich einem Audit stellen</w:t>
      </w:r>
      <w:r w:rsidR="00FF663F">
        <w:t>.</w:t>
      </w:r>
      <w:r w:rsidR="00062CE6">
        <w:t xml:space="preserve"> </w:t>
      </w:r>
      <w:r w:rsidR="00FB7D08">
        <w:t xml:space="preserve">Bis zu 5 „e“ kann eine Gemeinde erreichen. </w:t>
      </w:r>
      <w:r w:rsidR="000A26AF">
        <w:t>Aufgrund der</w:t>
      </w:r>
      <w:r>
        <w:t xml:space="preserve"> COVID-19</w:t>
      </w:r>
      <w:r w:rsidR="000A26AF">
        <w:t>-Pandemie entfällt der</w:t>
      </w:r>
      <w:r w:rsidR="00FB7D08">
        <w:t xml:space="preserve"> </w:t>
      </w:r>
      <w:r>
        <w:t>e5-Event</w:t>
      </w:r>
      <w:r w:rsidR="004036A0">
        <w:t xml:space="preserve"> zum ersten Mal.</w:t>
      </w:r>
      <w:r w:rsidR="00FB7D08">
        <w:t xml:space="preserve"> Die zehn auditierten Gemeinden erh</w:t>
      </w:r>
      <w:r w:rsidR="00ED35A6">
        <w:t>ie</w:t>
      </w:r>
      <w:r w:rsidR="00FB7D08">
        <w:t xml:space="preserve">lten </w:t>
      </w:r>
      <w:r w:rsidR="00997712" w:rsidRPr="00997712">
        <w:t xml:space="preserve">ihre Auszeichnungen im November bei persönlichen Besuchen </w:t>
      </w:r>
      <w:r w:rsidR="00287C3A">
        <w:t>von ihren</w:t>
      </w:r>
      <w:r w:rsidR="00997712" w:rsidRPr="00997712">
        <w:t xml:space="preserve"> e5-</w:t>
      </w:r>
      <w:r w:rsidR="009D7CCD">
        <w:t>Gemeindebetreuerinnen und -betreuern</w:t>
      </w:r>
      <w:r w:rsidR="00ED35A6">
        <w:t>.</w:t>
      </w:r>
    </w:p>
    <w:p w14:paraId="45791FB8" w14:textId="77777777" w:rsidR="008974EF" w:rsidRDefault="008974EF">
      <w:pPr>
        <w:pStyle w:val="Pzwei"/>
      </w:pPr>
    </w:p>
    <w:p w14:paraId="52C2B5D3" w14:textId="77777777" w:rsidR="00192197" w:rsidRDefault="00997712">
      <w:pPr>
        <w:pStyle w:val="Pzwei"/>
      </w:pPr>
      <w:r>
        <w:t>„Trotz Pandemie konnt</w:t>
      </w:r>
      <w:r w:rsidR="007E1EC5">
        <w:t xml:space="preserve">e der Auditprozess mit tatkräftiger Unterstützung der Gemeinden </w:t>
      </w:r>
      <w:r w:rsidR="005D3B16">
        <w:t>frist</w:t>
      </w:r>
      <w:r w:rsidR="007E1EC5">
        <w:t xml:space="preserve">gerecht umgesetzt werden“, </w:t>
      </w:r>
      <w:r w:rsidR="00FB7D08">
        <w:t>freut sich e5-Programmleiter Gregor Sellner</w:t>
      </w:r>
      <w:r w:rsidR="004036A0">
        <w:t xml:space="preserve"> und ergänzt:</w:t>
      </w:r>
      <w:r w:rsidR="00FB7D08">
        <w:t xml:space="preserve"> </w:t>
      </w:r>
      <w:r w:rsidR="004A064B">
        <w:t>„</w:t>
      </w:r>
      <w:r w:rsidR="00BC3FF7">
        <w:t>D</w:t>
      </w:r>
      <w:r w:rsidR="004A064B">
        <w:t>urch</w:t>
      </w:r>
      <w:r w:rsidR="00FB7D08">
        <w:t xml:space="preserve"> </w:t>
      </w:r>
      <w:r w:rsidR="004A064B" w:rsidRPr="00FB7D08">
        <w:t>C</w:t>
      </w:r>
      <w:r w:rsidR="004A064B">
        <w:t>OVID-1</w:t>
      </w:r>
      <w:r w:rsidR="004A064B" w:rsidRPr="00FB7D08">
        <w:t>9</w:t>
      </w:r>
      <w:r w:rsidR="004A064B">
        <w:t xml:space="preserve"> </w:t>
      </w:r>
      <w:r w:rsidR="007E1EC5">
        <w:t>müssen die Gemeinden erhebliche Einnahmenrückgänge hinnehmen</w:t>
      </w:r>
      <w:r w:rsidR="00FF663F">
        <w:t xml:space="preserve">. </w:t>
      </w:r>
      <w:r w:rsidR="007E1EC5">
        <w:t>Effektiver Kli</w:t>
      </w:r>
      <w:r w:rsidR="005D3B16">
        <w:t>maschutz lässt sich jedoch auch</w:t>
      </w:r>
      <w:r w:rsidR="007E1EC5">
        <w:t xml:space="preserve"> mit</w:t>
      </w:r>
      <w:r w:rsidR="00FF663F">
        <w:t xml:space="preserve"> k</w:t>
      </w:r>
      <w:r w:rsidR="00FB7D08" w:rsidRPr="00FB7D08">
        <w:t xml:space="preserve">leiner </w:t>
      </w:r>
      <w:r w:rsidR="007E1EC5">
        <w:t xml:space="preserve">dimensionierten </w:t>
      </w:r>
      <w:r w:rsidR="00FB7D08" w:rsidRPr="00FB7D08">
        <w:t>Projekte</w:t>
      </w:r>
      <w:r w:rsidR="007E1EC5">
        <w:t>n</w:t>
      </w:r>
      <w:r w:rsidR="00FF663F">
        <w:t xml:space="preserve"> und</w:t>
      </w:r>
      <w:r w:rsidR="004A064B">
        <w:t xml:space="preserve"> </w:t>
      </w:r>
      <w:r w:rsidR="00FB7D08" w:rsidRPr="00FB7D08">
        <w:t>Bewusstseinsbildung</w:t>
      </w:r>
      <w:r w:rsidR="00FB7D08">
        <w:t xml:space="preserve"> der Bevölkerung </w:t>
      </w:r>
      <w:r w:rsidR="005D3B16">
        <w:t>realisieren. Es ist ratsam</w:t>
      </w:r>
      <w:r w:rsidR="00287C3A">
        <w:t>,</w:t>
      </w:r>
      <w:r w:rsidR="005D3B16">
        <w:t xml:space="preserve"> diese</w:t>
      </w:r>
      <w:r w:rsidR="004A064B">
        <w:t xml:space="preserve"> gut</w:t>
      </w:r>
      <w:r w:rsidR="00FB7D08">
        <w:t xml:space="preserve"> über </w:t>
      </w:r>
      <w:r w:rsidR="00FF663F">
        <w:t xml:space="preserve">die zahlreichen </w:t>
      </w:r>
      <w:r w:rsidR="00FB7D08">
        <w:t>Förderungen zu informieren</w:t>
      </w:r>
      <w:r w:rsidR="004A064B">
        <w:t>, etwa für den Photovoltaik-Ausbau</w:t>
      </w:r>
      <w:r w:rsidR="008974EF">
        <w:t xml:space="preserve"> oder die Initiative ‚Raus aus Öl‘</w:t>
      </w:r>
      <w:r w:rsidR="004036A0">
        <w:t>.“</w:t>
      </w:r>
    </w:p>
    <w:p w14:paraId="12C653A5" w14:textId="77777777" w:rsidR="00192197" w:rsidRDefault="00192197">
      <w:pPr>
        <w:pStyle w:val="Pzwei"/>
      </w:pPr>
    </w:p>
    <w:p w14:paraId="5D839B4F" w14:textId="77777777" w:rsidR="00141D5A" w:rsidRDefault="00141D5A" w:rsidP="00141D5A">
      <w:pPr>
        <w:pStyle w:val="Pzwei"/>
      </w:pPr>
      <w:r>
        <w:t>In der zweiten Umsetzungsperiode</w:t>
      </w:r>
      <w:r w:rsidRPr="00864D30">
        <w:t xml:space="preserve"> </w:t>
      </w:r>
      <w:r>
        <w:t>der</w:t>
      </w:r>
      <w:r w:rsidRPr="00864D30">
        <w:t xml:space="preserve"> Energieautonomie </w:t>
      </w:r>
      <w:r>
        <w:t xml:space="preserve">Vorarlberg 2050 </w:t>
      </w:r>
      <w:r w:rsidRPr="00864D30">
        <w:t>sollen die e5-</w:t>
      </w:r>
      <w:r>
        <w:t xml:space="preserve">Gemeinden </w:t>
      </w:r>
      <w:r w:rsidRPr="00864D30">
        <w:t>noch intensiver Einfluss nehmen, informiert Umweltlandesrat Johannes Rauch: „Die Ziele und Maßnahmen definieren wir nun gemeinsam mit den e5-Teams. Sie sollen ihren Erfahrungsschatz noch stärker einbringen können. Was sie bisher geschafft haben, ist beeindruckend und vorbildhaft für die weitere Entwicklung“, bedankt sich Rauch bei allen e5-Aktiven.</w:t>
      </w:r>
    </w:p>
    <w:p w14:paraId="1CEA12A6" w14:textId="77777777" w:rsidR="005A2368" w:rsidRPr="007C3402" w:rsidRDefault="005A2368" w:rsidP="00091392">
      <w:pPr>
        <w:pStyle w:val="Pzwei"/>
      </w:pPr>
    </w:p>
    <w:p w14:paraId="5ADA21D3" w14:textId="77777777" w:rsidR="005C3FC3" w:rsidRDefault="0071361C" w:rsidP="003808D8">
      <w:pPr>
        <w:suppressAutoHyphens w:val="0"/>
        <w:autoSpaceDE w:val="0"/>
        <w:autoSpaceDN w:val="0"/>
        <w:adjustRightInd w:val="0"/>
        <w:spacing w:line="289" w:lineRule="atLeast"/>
      </w:pPr>
      <w:r>
        <w:t>Neben Koblach konnten sich d</w:t>
      </w:r>
      <w:r w:rsidR="005C3FC3">
        <w:t xml:space="preserve">ieses Jahr </w:t>
      </w:r>
      <w:r>
        <w:t>neun</w:t>
      </w:r>
      <w:r w:rsidRPr="007C3402">
        <w:t xml:space="preserve"> </w:t>
      </w:r>
      <w:r>
        <w:t xml:space="preserve">weitere </w:t>
      </w:r>
      <w:r w:rsidR="003808D8" w:rsidRPr="007C3402">
        <w:t xml:space="preserve">Gemeinden </w:t>
      </w:r>
      <w:r>
        <w:t>über</w:t>
      </w:r>
      <w:r w:rsidR="003808D8" w:rsidRPr="007C3402">
        <w:t xml:space="preserve"> </w:t>
      </w:r>
      <w:r>
        <w:t xml:space="preserve">eine erfolgreiche Zertifizierung </w:t>
      </w:r>
      <w:r w:rsidR="003808D8" w:rsidRPr="007C3402">
        <w:t xml:space="preserve">freuen: </w:t>
      </w:r>
      <w:r w:rsidR="005C3FC3" w:rsidRPr="005C3FC3">
        <w:t xml:space="preserve">Gaißau </w:t>
      </w:r>
      <w:r>
        <w:t xml:space="preserve">schaffte den Sprung von 2 auf </w:t>
      </w:r>
      <w:r w:rsidR="005C3FC3" w:rsidRPr="005C3FC3">
        <w:t xml:space="preserve">3 </w:t>
      </w:r>
      <w:r w:rsidR="004036A0">
        <w:t>„</w:t>
      </w:r>
      <w:r w:rsidR="005C3FC3">
        <w:t>e</w:t>
      </w:r>
      <w:r w:rsidR="004036A0">
        <w:t>“</w:t>
      </w:r>
      <w:r w:rsidR="005C3FC3">
        <w:t xml:space="preserve"> </w:t>
      </w:r>
      <w:r w:rsidR="00997712">
        <w:t xml:space="preserve">, Sulzberg von 3 auf </w:t>
      </w:r>
      <w:r w:rsidR="00287C3A">
        <w:t>4 „</w:t>
      </w:r>
      <w:r w:rsidR="00997712">
        <w:t>e</w:t>
      </w:r>
      <w:r w:rsidR="00287C3A">
        <w:t>“</w:t>
      </w:r>
      <w:r w:rsidR="004036A0">
        <w:t>.</w:t>
      </w:r>
      <w:r w:rsidR="005C3FC3">
        <w:t xml:space="preserve"> </w:t>
      </w:r>
      <w:r w:rsidR="005C3FC3" w:rsidRPr="005C3FC3">
        <w:t>Hard</w:t>
      </w:r>
      <w:r w:rsidR="00997712">
        <w:t xml:space="preserve"> und</w:t>
      </w:r>
      <w:r w:rsidR="005C3FC3" w:rsidRPr="005C3FC3">
        <w:t xml:space="preserve"> Nenzing </w:t>
      </w:r>
      <w:r w:rsidR="005C3FC3">
        <w:t xml:space="preserve">halten ihre </w:t>
      </w:r>
      <w:r w:rsidR="005C3FC3" w:rsidRPr="005C3FC3">
        <w:t xml:space="preserve">4 </w:t>
      </w:r>
      <w:r w:rsidR="004036A0">
        <w:t>„e“</w:t>
      </w:r>
      <w:r w:rsidR="005C3FC3" w:rsidRPr="005C3FC3">
        <w:t xml:space="preserve">, Schwarzach </w:t>
      </w:r>
      <w:r w:rsidR="005C3FC3">
        <w:t xml:space="preserve">die bisherigen 3 und Lochau 2 </w:t>
      </w:r>
      <w:r w:rsidR="004036A0">
        <w:t>„e“</w:t>
      </w:r>
      <w:r w:rsidR="005C3FC3">
        <w:t>.</w:t>
      </w:r>
      <w:r w:rsidR="005C3FC3" w:rsidRPr="005C3FC3">
        <w:t xml:space="preserve"> Bludenz und Dalaas </w:t>
      </w:r>
      <w:r w:rsidR="004036A0">
        <w:t>holen</w:t>
      </w:r>
      <w:r w:rsidR="005C3FC3">
        <w:t xml:space="preserve"> bei der ersten Auditierung </w:t>
      </w:r>
      <w:r w:rsidR="00997712">
        <w:t xml:space="preserve">auf Anhieb </w:t>
      </w:r>
      <w:r w:rsidR="005C3FC3">
        <w:t xml:space="preserve">3 </w:t>
      </w:r>
      <w:r w:rsidR="004036A0">
        <w:t>„e“</w:t>
      </w:r>
      <w:r w:rsidR="005C3FC3">
        <w:t xml:space="preserve">, Brand 2 </w:t>
      </w:r>
      <w:r w:rsidR="004036A0">
        <w:t>„e“</w:t>
      </w:r>
      <w:r w:rsidR="005C3FC3">
        <w:t>.</w:t>
      </w:r>
    </w:p>
    <w:p w14:paraId="7D508C57" w14:textId="77777777" w:rsidR="00665E47" w:rsidRPr="00837282" w:rsidRDefault="00665E47" w:rsidP="003808D8">
      <w:pPr>
        <w:pStyle w:val="Pzwei"/>
      </w:pPr>
    </w:p>
    <w:p w14:paraId="1624ED01" w14:textId="77777777" w:rsidR="0071361C" w:rsidRDefault="0071361C" w:rsidP="00080359">
      <w:pPr>
        <w:pStyle w:val="Pzwei"/>
        <w:rPr>
          <w:b/>
        </w:rPr>
      </w:pPr>
      <w:r>
        <w:rPr>
          <w:b/>
        </w:rPr>
        <w:t>Attraktives Radverkehrsnetz</w:t>
      </w:r>
    </w:p>
    <w:p w14:paraId="21A4FB88" w14:textId="66EFC270" w:rsidR="00080359" w:rsidRPr="00173038" w:rsidRDefault="0071361C" w:rsidP="00080359">
      <w:pPr>
        <w:pStyle w:val="Pzwei"/>
      </w:pPr>
      <w:r>
        <w:t xml:space="preserve">Durch 5 Prozentpunkte mehr konnte </w:t>
      </w:r>
      <w:r w:rsidR="00080359" w:rsidRPr="00173038">
        <w:t>Koblach</w:t>
      </w:r>
      <w:r>
        <w:t xml:space="preserve"> </w:t>
      </w:r>
      <w:r w:rsidR="00080359" w:rsidRPr="00173038">
        <w:t xml:space="preserve">seine 3 </w:t>
      </w:r>
      <w:r w:rsidR="00080359">
        <w:t>„e“</w:t>
      </w:r>
      <w:r>
        <w:t xml:space="preserve"> erfolgreich verteidigen</w:t>
      </w:r>
      <w:r w:rsidR="00080359" w:rsidRPr="00173038">
        <w:t xml:space="preserve">. </w:t>
      </w:r>
      <w:r w:rsidR="00ED35A6">
        <w:t>A</w:t>
      </w:r>
      <w:r w:rsidR="00080359" w:rsidRPr="00173038">
        <w:t xml:space="preserve">usschlaggebend ist </w:t>
      </w:r>
      <w:r w:rsidR="00395FE2">
        <w:t>vor allem d</w:t>
      </w:r>
      <w:r w:rsidR="005C1CA0">
        <w:t>as Engagement für den</w:t>
      </w:r>
      <w:r w:rsidR="00395FE2">
        <w:t xml:space="preserve"> Ausbau des Radverkehrsnetzes und </w:t>
      </w:r>
      <w:r w:rsidR="007C3D26">
        <w:t xml:space="preserve">die </w:t>
      </w:r>
      <w:r w:rsidR="00395FE2">
        <w:t xml:space="preserve">Installierung von Servicestationen. Der </w:t>
      </w:r>
      <w:r w:rsidR="00080359" w:rsidRPr="00173038">
        <w:t>schonende Umgang mit Ressourcen</w:t>
      </w:r>
      <w:r w:rsidR="00395FE2">
        <w:t xml:space="preserve"> wird ebenso </w:t>
      </w:r>
      <w:r w:rsidR="00395FE2">
        <w:lastRenderedPageBreak/>
        <w:t xml:space="preserve">großgeschrieben. So will die amKumma-Gemeinde plastikfrei werden und </w:t>
      </w:r>
      <w:r w:rsidR="00133923">
        <w:t>deshalb</w:t>
      </w:r>
      <w:r w:rsidR="00395FE2">
        <w:t xml:space="preserve"> das erfolgreiche Mitmachprojekt</w:t>
      </w:r>
      <w:r w:rsidR="005C1CA0">
        <w:t xml:space="preserve"> in der Region</w:t>
      </w:r>
      <w:r w:rsidR="00395FE2">
        <w:t>, das bei Betrieben</w:t>
      </w:r>
      <w:r w:rsidR="00133923">
        <w:t xml:space="preserve">, </w:t>
      </w:r>
      <w:r w:rsidR="00395FE2">
        <w:t xml:space="preserve">Einwohnerinnen und Einwohnern hervorragend ankommt, </w:t>
      </w:r>
      <w:r w:rsidR="007C3D26">
        <w:t xml:space="preserve">nächstes </w:t>
      </w:r>
      <w:r w:rsidR="00395FE2">
        <w:t>Jahr fortsetzen. Im</w:t>
      </w:r>
      <w:r w:rsidR="00080359" w:rsidRPr="00173038">
        <w:t xml:space="preserve"> Reparaturcafé </w:t>
      </w:r>
      <w:r w:rsidR="00395FE2">
        <w:t>bringen Freiwillige Elektrogeräte und Textilien wieder in Schuss</w:t>
      </w:r>
      <w:r w:rsidR="00133923">
        <w:t xml:space="preserve">. In Koblach steht das erste </w:t>
      </w:r>
      <w:r w:rsidR="00080359" w:rsidRPr="00173038">
        <w:t>e5-Bücherhotel</w:t>
      </w:r>
      <w:r w:rsidR="00133923">
        <w:t>, das mit gebrauchtem, aber intaktem Lesestoff bestückt wird. Die schöne Gestaltung</w:t>
      </w:r>
      <w:r w:rsidR="00395FE2">
        <w:t xml:space="preserve"> verdankt die Gemeinde kreativen Schülerinnen und Schülern, die </w:t>
      </w:r>
      <w:r w:rsidR="007C3D26">
        <w:t xml:space="preserve">ihre </w:t>
      </w:r>
      <w:r w:rsidR="005C1CA0">
        <w:t xml:space="preserve">Entwürfe </w:t>
      </w:r>
      <w:r w:rsidR="00ED35A6">
        <w:t xml:space="preserve">bei einem Wettbewerb </w:t>
      </w:r>
      <w:r w:rsidR="005C1CA0">
        <w:t>eingereicht ha</w:t>
      </w:r>
      <w:r w:rsidR="00ED35A6">
        <w:t>tten</w:t>
      </w:r>
      <w:r w:rsidR="00133923">
        <w:t>.</w:t>
      </w:r>
    </w:p>
    <w:p w14:paraId="515264C6" w14:textId="77777777" w:rsidR="00080359" w:rsidRDefault="00080359" w:rsidP="00E3436E">
      <w:pPr>
        <w:pStyle w:val="Pzwei"/>
      </w:pPr>
    </w:p>
    <w:p w14:paraId="60F0EDFF" w14:textId="77777777" w:rsidR="00E95D5B" w:rsidRDefault="00E95D5B">
      <w:pPr>
        <w:pStyle w:val="Pzwei"/>
      </w:pPr>
    </w:p>
    <w:p w14:paraId="15E74953" w14:textId="77777777" w:rsidR="007C691D" w:rsidRDefault="00745E39">
      <w:pPr>
        <w:pStyle w:val="Pzwei"/>
        <w:rPr>
          <w:b/>
          <w:bCs/>
          <w:iCs/>
        </w:rPr>
      </w:pPr>
      <w:r>
        <w:rPr>
          <w:b/>
          <w:bCs/>
          <w:iCs/>
        </w:rPr>
        <w:t xml:space="preserve">Infos: </w:t>
      </w:r>
      <w:hyperlink r:id="rId8" w:history="1">
        <w:r w:rsidRPr="00DE5D8F">
          <w:rPr>
            <w:rStyle w:val="Hyperlink"/>
            <w:b/>
            <w:bCs/>
            <w:iCs/>
          </w:rPr>
          <w:t>www.energieinstitut.at</w:t>
        </w:r>
      </w:hyperlink>
      <w:r>
        <w:rPr>
          <w:b/>
          <w:bCs/>
          <w:iCs/>
        </w:rPr>
        <w:t xml:space="preserve"> </w:t>
      </w:r>
    </w:p>
    <w:p w14:paraId="64F4A807" w14:textId="77777777" w:rsidR="0082661D" w:rsidRDefault="0082661D">
      <w:pPr>
        <w:pStyle w:val="Pzwei"/>
        <w:rPr>
          <w:b/>
          <w:bCs/>
          <w:iCs/>
        </w:rPr>
      </w:pPr>
    </w:p>
    <w:p w14:paraId="18DEFB33" w14:textId="77777777" w:rsidR="00822F32" w:rsidRDefault="00822F32" w:rsidP="0082661D">
      <w:pPr>
        <w:rPr>
          <w:b/>
          <w:bCs/>
        </w:rPr>
      </w:pPr>
      <w:r>
        <w:rPr>
          <w:b/>
          <w:bCs/>
        </w:rPr>
        <w:t>Factbox:</w:t>
      </w:r>
      <w:r w:rsidR="002469FF">
        <w:rPr>
          <w:b/>
          <w:bCs/>
        </w:rPr>
        <w:t xml:space="preserve"> </w:t>
      </w:r>
      <w:r>
        <w:rPr>
          <w:b/>
          <w:bCs/>
        </w:rPr>
        <w:t>e5-Zertifizierung</w:t>
      </w:r>
      <w:r>
        <w:rPr>
          <w:rFonts w:eastAsia="Arial"/>
          <w:b/>
          <w:bCs/>
        </w:rPr>
        <w:t xml:space="preserve"> </w:t>
      </w:r>
      <w:r w:rsidR="00863256">
        <w:rPr>
          <w:b/>
          <w:bCs/>
        </w:rPr>
        <w:t>20</w:t>
      </w:r>
      <w:r w:rsidR="008375B4">
        <w:rPr>
          <w:b/>
          <w:bCs/>
        </w:rPr>
        <w:t>20</w:t>
      </w:r>
    </w:p>
    <w:p w14:paraId="3D578129" w14:textId="77777777" w:rsidR="002A450A" w:rsidRDefault="002A450A" w:rsidP="008266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308"/>
        <w:gridCol w:w="2308"/>
        <w:gridCol w:w="2134"/>
      </w:tblGrid>
      <w:tr w:rsidR="00C57007" w:rsidRPr="00DD0ED3" w14:paraId="630E4A3A" w14:textId="77777777" w:rsidTr="00C57007">
        <w:tc>
          <w:tcPr>
            <w:tcW w:w="2710" w:type="dxa"/>
            <w:shd w:val="clear" w:color="auto" w:fill="auto"/>
          </w:tcPr>
          <w:p w14:paraId="6102CD1F" w14:textId="77777777" w:rsidR="00C57007" w:rsidRPr="00DD0ED3" w:rsidRDefault="00C57007" w:rsidP="00DD0ED3">
            <w:pPr>
              <w:tabs>
                <w:tab w:val="left" w:pos="1995"/>
                <w:tab w:val="left" w:pos="3405"/>
              </w:tabs>
              <w:rPr>
                <w:b/>
                <w:bCs/>
              </w:rPr>
            </w:pPr>
            <w:r w:rsidRPr="00DD0ED3">
              <w:rPr>
                <w:b/>
                <w:bCs/>
              </w:rPr>
              <w:t>Gemeinde</w:t>
            </w:r>
          </w:p>
        </w:tc>
        <w:tc>
          <w:tcPr>
            <w:tcW w:w="2381" w:type="dxa"/>
            <w:shd w:val="clear" w:color="auto" w:fill="auto"/>
          </w:tcPr>
          <w:p w14:paraId="43840630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 w:rsidRPr="00DD0ED3">
              <w:rPr>
                <w:b/>
                <w:bCs/>
              </w:rPr>
              <w:t>e5-Status bisher</w:t>
            </w:r>
          </w:p>
        </w:tc>
        <w:tc>
          <w:tcPr>
            <w:tcW w:w="2381" w:type="dxa"/>
            <w:shd w:val="clear" w:color="auto" w:fill="auto"/>
          </w:tcPr>
          <w:p w14:paraId="3AEE36CE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 w:rsidRPr="00DD0ED3">
              <w:rPr>
                <w:b/>
                <w:bCs/>
              </w:rPr>
              <w:t>e5-Status neu</w:t>
            </w:r>
          </w:p>
        </w:tc>
        <w:tc>
          <w:tcPr>
            <w:tcW w:w="2150" w:type="dxa"/>
          </w:tcPr>
          <w:p w14:paraId="5FB94EBB" w14:textId="77777777" w:rsidR="00C57007" w:rsidRPr="00DD0ED3" w:rsidRDefault="00C57007" w:rsidP="00247016">
            <w:pPr>
              <w:tabs>
                <w:tab w:val="left" w:pos="1995"/>
                <w:tab w:val="left" w:pos="34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Prozentpunkte*</w:t>
            </w:r>
          </w:p>
        </w:tc>
      </w:tr>
      <w:tr w:rsidR="00247016" w:rsidRPr="00DD0ED3" w14:paraId="08A27EC5" w14:textId="77777777" w:rsidTr="00C57007">
        <w:tc>
          <w:tcPr>
            <w:tcW w:w="2710" w:type="dxa"/>
            <w:shd w:val="clear" w:color="auto" w:fill="auto"/>
          </w:tcPr>
          <w:p w14:paraId="36427B4C" w14:textId="77777777" w:rsidR="00247016" w:rsidRPr="00DD0ED3" w:rsidRDefault="008375B4" w:rsidP="00DD0ED3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Lochau</w:t>
            </w:r>
          </w:p>
        </w:tc>
        <w:tc>
          <w:tcPr>
            <w:tcW w:w="2381" w:type="dxa"/>
            <w:shd w:val="clear" w:color="auto" w:fill="auto"/>
          </w:tcPr>
          <w:p w14:paraId="2F80DF7D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381" w:type="dxa"/>
            <w:shd w:val="clear" w:color="auto" w:fill="auto"/>
          </w:tcPr>
          <w:p w14:paraId="7E0A7FD2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150" w:type="dxa"/>
          </w:tcPr>
          <w:p w14:paraId="73D68B14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247016" w:rsidRPr="00DD0ED3" w14:paraId="4675188F" w14:textId="77777777" w:rsidTr="00C57007">
        <w:tc>
          <w:tcPr>
            <w:tcW w:w="2710" w:type="dxa"/>
            <w:shd w:val="clear" w:color="auto" w:fill="auto"/>
          </w:tcPr>
          <w:p w14:paraId="5CE612D2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Brand</w:t>
            </w:r>
          </w:p>
        </w:tc>
        <w:tc>
          <w:tcPr>
            <w:tcW w:w="2381" w:type="dxa"/>
            <w:shd w:val="clear" w:color="auto" w:fill="auto"/>
          </w:tcPr>
          <w:p w14:paraId="016CF888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4C871EA5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247016">
              <w:rPr>
                <w:bCs/>
              </w:rPr>
              <w:t>e</w:t>
            </w:r>
          </w:p>
        </w:tc>
        <w:tc>
          <w:tcPr>
            <w:tcW w:w="2150" w:type="dxa"/>
          </w:tcPr>
          <w:p w14:paraId="76AF8458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247016" w:rsidRPr="00DD0ED3" w14:paraId="0A5C3F3F" w14:textId="77777777" w:rsidTr="00C57007">
        <w:tc>
          <w:tcPr>
            <w:tcW w:w="2710" w:type="dxa"/>
            <w:shd w:val="clear" w:color="auto" w:fill="auto"/>
          </w:tcPr>
          <w:p w14:paraId="153BF1B4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Bludenz</w:t>
            </w:r>
          </w:p>
        </w:tc>
        <w:tc>
          <w:tcPr>
            <w:tcW w:w="2381" w:type="dxa"/>
            <w:shd w:val="clear" w:color="auto" w:fill="auto"/>
          </w:tcPr>
          <w:p w14:paraId="37B4525E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1BC8C109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  <w:r w:rsidR="007E1EC5">
              <w:rPr>
                <w:bCs/>
              </w:rPr>
              <w:t>e</w:t>
            </w:r>
          </w:p>
        </w:tc>
        <w:tc>
          <w:tcPr>
            <w:tcW w:w="2150" w:type="dxa"/>
          </w:tcPr>
          <w:p w14:paraId="7FA2246C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47016" w:rsidRPr="00DD0ED3" w14:paraId="2CB1B82C" w14:textId="77777777" w:rsidTr="00C57007">
        <w:tc>
          <w:tcPr>
            <w:tcW w:w="2710" w:type="dxa"/>
            <w:shd w:val="clear" w:color="auto" w:fill="auto"/>
          </w:tcPr>
          <w:p w14:paraId="0FF2F8AE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Dalaas</w:t>
            </w:r>
          </w:p>
        </w:tc>
        <w:tc>
          <w:tcPr>
            <w:tcW w:w="2381" w:type="dxa"/>
            <w:shd w:val="clear" w:color="auto" w:fill="auto"/>
          </w:tcPr>
          <w:p w14:paraId="773AE5CD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298EEB53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  <w:r w:rsidR="007E1EC5">
              <w:rPr>
                <w:bCs/>
              </w:rPr>
              <w:t>e</w:t>
            </w:r>
          </w:p>
        </w:tc>
        <w:tc>
          <w:tcPr>
            <w:tcW w:w="2150" w:type="dxa"/>
          </w:tcPr>
          <w:p w14:paraId="6AE6A0BF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47016" w:rsidRPr="00DD0ED3" w14:paraId="56B3580F" w14:textId="77777777" w:rsidTr="00C57007">
        <w:tc>
          <w:tcPr>
            <w:tcW w:w="2710" w:type="dxa"/>
            <w:shd w:val="clear" w:color="auto" w:fill="auto"/>
          </w:tcPr>
          <w:p w14:paraId="38F34255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Schwarzach</w:t>
            </w:r>
          </w:p>
        </w:tc>
        <w:tc>
          <w:tcPr>
            <w:tcW w:w="2381" w:type="dxa"/>
            <w:shd w:val="clear" w:color="auto" w:fill="auto"/>
          </w:tcPr>
          <w:p w14:paraId="67448241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4A45ED7A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150" w:type="dxa"/>
          </w:tcPr>
          <w:p w14:paraId="77B43071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247016" w:rsidRPr="00DD0ED3" w14:paraId="7AD4A087" w14:textId="77777777" w:rsidTr="00C57007">
        <w:tc>
          <w:tcPr>
            <w:tcW w:w="2710" w:type="dxa"/>
            <w:shd w:val="clear" w:color="auto" w:fill="auto"/>
          </w:tcPr>
          <w:p w14:paraId="39461EC7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Koblach</w:t>
            </w:r>
          </w:p>
        </w:tc>
        <w:tc>
          <w:tcPr>
            <w:tcW w:w="2381" w:type="dxa"/>
            <w:shd w:val="clear" w:color="auto" w:fill="auto"/>
          </w:tcPr>
          <w:p w14:paraId="52177E46" w14:textId="77777777" w:rsidR="00247016" w:rsidRPr="00DD0ED3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6A54364B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247016">
              <w:rPr>
                <w:bCs/>
              </w:rPr>
              <w:t>ee</w:t>
            </w:r>
          </w:p>
        </w:tc>
        <w:tc>
          <w:tcPr>
            <w:tcW w:w="2150" w:type="dxa"/>
          </w:tcPr>
          <w:p w14:paraId="3BB3C68B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247016" w:rsidRPr="00DD0ED3" w14:paraId="2C6B1BDD" w14:textId="77777777" w:rsidTr="00C57007">
        <w:tc>
          <w:tcPr>
            <w:tcW w:w="2710" w:type="dxa"/>
            <w:shd w:val="clear" w:color="auto" w:fill="auto"/>
          </w:tcPr>
          <w:p w14:paraId="4A1F59AC" w14:textId="77777777" w:rsidR="00247016" w:rsidRPr="00DD0ED3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Gaißau</w:t>
            </w:r>
          </w:p>
        </w:tc>
        <w:tc>
          <w:tcPr>
            <w:tcW w:w="2381" w:type="dxa"/>
            <w:shd w:val="clear" w:color="auto" w:fill="auto"/>
          </w:tcPr>
          <w:p w14:paraId="2FBFF46D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</w:t>
            </w:r>
          </w:p>
        </w:tc>
        <w:tc>
          <w:tcPr>
            <w:tcW w:w="2381" w:type="dxa"/>
            <w:shd w:val="clear" w:color="auto" w:fill="auto"/>
          </w:tcPr>
          <w:p w14:paraId="7210C460" w14:textId="77777777" w:rsidR="00247016" w:rsidRPr="00DD0ED3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150" w:type="dxa"/>
          </w:tcPr>
          <w:p w14:paraId="084A7B5C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247016" w:rsidRPr="00DD0ED3" w14:paraId="67A892F4" w14:textId="77777777" w:rsidTr="00C57007">
        <w:tc>
          <w:tcPr>
            <w:tcW w:w="2710" w:type="dxa"/>
            <w:shd w:val="clear" w:color="auto" w:fill="auto"/>
          </w:tcPr>
          <w:p w14:paraId="2418C3E7" w14:textId="77777777" w:rsidR="00247016" w:rsidRPr="00DD0ED3" w:rsidRDefault="008375B4" w:rsidP="00DD0ED3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Sulzberg</w:t>
            </w:r>
          </w:p>
        </w:tc>
        <w:tc>
          <w:tcPr>
            <w:tcW w:w="2381" w:type="dxa"/>
            <w:shd w:val="clear" w:color="auto" w:fill="auto"/>
          </w:tcPr>
          <w:p w14:paraId="65204DDB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</w:t>
            </w:r>
          </w:p>
        </w:tc>
        <w:tc>
          <w:tcPr>
            <w:tcW w:w="2381" w:type="dxa"/>
            <w:shd w:val="clear" w:color="auto" w:fill="auto"/>
          </w:tcPr>
          <w:p w14:paraId="2357BBB4" w14:textId="77777777" w:rsidR="00247016" w:rsidRPr="00DD0ED3" w:rsidRDefault="0024701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77C8A681" w14:textId="77777777" w:rsidR="00247016" w:rsidRPr="004C525D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B85B86" w:rsidRPr="00DD0ED3" w14:paraId="04E736DD" w14:textId="77777777" w:rsidTr="00C57007">
        <w:tc>
          <w:tcPr>
            <w:tcW w:w="2710" w:type="dxa"/>
            <w:shd w:val="clear" w:color="auto" w:fill="auto"/>
          </w:tcPr>
          <w:p w14:paraId="491A90A7" w14:textId="77777777" w:rsidR="00B85B86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Hard</w:t>
            </w:r>
          </w:p>
        </w:tc>
        <w:tc>
          <w:tcPr>
            <w:tcW w:w="2381" w:type="dxa"/>
            <w:shd w:val="clear" w:color="auto" w:fill="auto"/>
          </w:tcPr>
          <w:p w14:paraId="1B2C33BB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381" w:type="dxa"/>
            <w:shd w:val="clear" w:color="auto" w:fill="auto"/>
          </w:tcPr>
          <w:p w14:paraId="09C95757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0C28663F" w14:textId="77777777" w:rsidR="00B85B86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B85B86" w:rsidRPr="00DD0ED3" w14:paraId="008F8F7E" w14:textId="77777777" w:rsidTr="00C57007">
        <w:tc>
          <w:tcPr>
            <w:tcW w:w="2710" w:type="dxa"/>
            <w:shd w:val="clear" w:color="auto" w:fill="auto"/>
          </w:tcPr>
          <w:p w14:paraId="353063B3" w14:textId="77777777" w:rsidR="00B85B86" w:rsidRDefault="008375B4" w:rsidP="00F80ABE">
            <w:pPr>
              <w:tabs>
                <w:tab w:val="left" w:pos="1995"/>
                <w:tab w:val="left" w:pos="3405"/>
              </w:tabs>
              <w:rPr>
                <w:bCs/>
              </w:rPr>
            </w:pPr>
            <w:r>
              <w:rPr>
                <w:bCs/>
              </w:rPr>
              <w:t>Nenzing</w:t>
            </w:r>
          </w:p>
        </w:tc>
        <w:tc>
          <w:tcPr>
            <w:tcW w:w="2381" w:type="dxa"/>
            <w:shd w:val="clear" w:color="auto" w:fill="auto"/>
          </w:tcPr>
          <w:p w14:paraId="1C6D9256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381" w:type="dxa"/>
            <w:shd w:val="clear" w:color="auto" w:fill="auto"/>
          </w:tcPr>
          <w:p w14:paraId="3293AB95" w14:textId="77777777" w:rsidR="00B85B86" w:rsidRDefault="00B85B86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eeee</w:t>
            </w:r>
          </w:p>
        </w:tc>
        <w:tc>
          <w:tcPr>
            <w:tcW w:w="2150" w:type="dxa"/>
          </w:tcPr>
          <w:p w14:paraId="662A51C3" w14:textId="77777777" w:rsidR="00B85B86" w:rsidRDefault="008375B4" w:rsidP="00247016">
            <w:pPr>
              <w:tabs>
                <w:tab w:val="left" w:pos="1995"/>
                <w:tab w:val="left" w:pos="3405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</w:tbl>
    <w:p w14:paraId="1E808C99" w14:textId="77777777" w:rsidR="00616330" w:rsidRDefault="00616330" w:rsidP="00616330">
      <w:pPr>
        <w:tabs>
          <w:tab w:val="left" w:pos="1995"/>
          <w:tab w:val="left" w:pos="3405"/>
        </w:tabs>
      </w:pPr>
    </w:p>
    <w:p w14:paraId="449E896C" w14:textId="77777777" w:rsidR="00616330" w:rsidRDefault="00616330" w:rsidP="00616330">
      <w:pPr>
        <w:tabs>
          <w:tab w:val="left" w:pos="1995"/>
          <w:tab w:val="left" w:pos="3405"/>
        </w:tabs>
      </w:pPr>
      <w:r>
        <w:rPr>
          <w:b/>
          <w:bCs/>
        </w:rPr>
        <w:t>*</w:t>
      </w:r>
      <w:r>
        <w:t>Der durchschnittliche Umsetzungsgrad der sechs Wertungskategorien (Entwicklungs- und Raumplanung, Gebäude &amp; Anlagen, interne Organisation, Kommunikation &amp; Kooperation, Mobilität, Ver- &amp; Entsorgung) in Prozent wird vereinfacht mit der „e“-Wertung dargestellt (von „e“ &lt;25% bis „eeeee“ &gt;75%)</w:t>
      </w:r>
    </w:p>
    <w:p w14:paraId="110AD049" w14:textId="77777777" w:rsidR="00AB38AE" w:rsidRDefault="00AB38AE">
      <w:pPr>
        <w:tabs>
          <w:tab w:val="left" w:pos="1995"/>
          <w:tab w:val="left" w:pos="3405"/>
        </w:tabs>
      </w:pPr>
    </w:p>
    <w:p w14:paraId="66E54CCB" w14:textId="77777777" w:rsidR="00616330" w:rsidRPr="00616330" w:rsidRDefault="00616330">
      <w:pPr>
        <w:tabs>
          <w:tab w:val="left" w:pos="1995"/>
          <w:tab w:val="left" w:pos="3405"/>
        </w:tabs>
        <w:rPr>
          <w:b/>
        </w:rPr>
      </w:pPr>
      <w:r w:rsidRPr="00616330">
        <w:rPr>
          <w:b/>
        </w:rPr>
        <w:t>Kommission:</w:t>
      </w:r>
    </w:p>
    <w:p w14:paraId="05C00481" w14:textId="77777777" w:rsidR="007A32AB" w:rsidRDefault="007A32AB" w:rsidP="00616330">
      <w:pPr>
        <w:tabs>
          <w:tab w:val="left" w:pos="1995"/>
          <w:tab w:val="left" w:pos="3405"/>
        </w:tabs>
      </w:pPr>
      <w:r>
        <w:t>Mag. (FH) Karin Feurstein-Pichler, Leiterin Stabstelle Energieautonomie, Energieinstitut</w:t>
      </w:r>
    </w:p>
    <w:p w14:paraId="32798CE6" w14:textId="77777777" w:rsidR="00616330" w:rsidRPr="007A32AB" w:rsidRDefault="00A346F4" w:rsidP="00616330">
      <w:pPr>
        <w:tabs>
          <w:tab w:val="left" w:pos="1995"/>
          <w:tab w:val="left" w:pos="3405"/>
        </w:tabs>
      </w:pPr>
      <w:r w:rsidRPr="007A32AB">
        <w:t xml:space="preserve">DI </w:t>
      </w:r>
      <w:r w:rsidR="00616330" w:rsidRPr="007A32AB">
        <w:t xml:space="preserve">Christian Vögel, Amt der </w:t>
      </w:r>
      <w:r w:rsidRPr="007A32AB">
        <w:t xml:space="preserve">Vorarlberger </w:t>
      </w:r>
      <w:r w:rsidR="00616330" w:rsidRPr="007A32AB">
        <w:t>Landesregierung, Bereich Energie</w:t>
      </w:r>
    </w:p>
    <w:p w14:paraId="7C1F2AB1" w14:textId="77777777" w:rsidR="00A346F4" w:rsidRDefault="00A346F4" w:rsidP="00616330">
      <w:pPr>
        <w:tabs>
          <w:tab w:val="left" w:pos="1995"/>
          <w:tab w:val="left" w:pos="3405"/>
        </w:tabs>
      </w:pPr>
      <w:r w:rsidRPr="007A32AB">
        <w:t>Mag. Gregor Thenius, Österreichische Energieagentur</w:t>
      </w:r>
    </w:p>
    <w:p w14:paraId="52B5D205" w14:textId="77777777" w:rsidR="007A32AB" w:rsidRDefault="007A32AB" w:rsidP="00616330">
      <w:pPr>
        <w:tabs>
          <w:tab w:val="left" w:pos="1995"/>
          <w:tab w:val="left" w:pos="3405"/>
        </w:tabs>
      </w:pPr>
      <w:r>
        <w:t>Katharina Wöß-Krall, Bürgermeisterin Marktgemeinde Rankweil</w:t>
      </w:r>
    </w:p>
    <w:p w14:paraId="2446DE43" w14:textId="77777777" w:rsidR="007A32AB" w:rsidRDefault="007A32AB" w:rsidP="00616330">
      <w:pPr>
        <w:tabs>
          <w:tab w:val="left" w:pos="1995"/>
          <w:tab w:val="left" w:pos="3405"/>
        </w:tabs>
      </w:pPr>
      <w:r>
        <w:t>Martin Strele, Verein für Bodenfreiheit</w:t>
      </w:r>
    </w:p>
    <w:p w14:paraId="4DC97F04" w14:textId="77777777" w:rsidR="007A32AB" w:rsidRPr="007A32AB" w:rsidRDefault="007A32AB" w:rsidP="00616330">
      <w:pPr>
        <w:tabs>
          <w:tab w:val="left" w:pos="1995"/>
          <w:tab w:val="left" w:pos="3405"/>
        </w:tabs>
      </w:pPr>
      <w:r>
        <w:t>Marcel Knöri, Amt für Wasser und Energie, Kanton St. Gallen</w:t>
      </w:r>
    </w:p>
    <w:p w14:paraId="461A8BA7" w14:textId="77777777" w:rsidR="00C57007" w:rsidRDefault="00C57007">
      <w:pPr>
        <w:rPr>
          <w:b/>
          <w:bCs/>
        </w:rPr>
      </w:pPr>
    </w:p>
    <w:p w14:paraId="036C5F49" w14:textId="77777777" w:rsidR="007A32AB" w:rsidRPr="00616330" w:rsidRDefault="007A32AB" w:rsidP="007A32AB">
      <w:pPr>
        <w:tabs>
          <w:tab w:val="left" w:pos="1995"/>
          <w:tab w:val="left" w:pos="3405"/>
        </w:tabs>
        <w:rPr>
          <w:b/>
        </w:rPr>
      </w:pPr>
      <w:r>
        <w:rPr>
          <w:b/>
        </w:rPr>
        <w:t>Auditorin:</w:t>
      </w:r>
    </w:p>
    <w:p w14:paraId="6F903049" w14:textId="77777777" w:rsidR="007A32AB" w:rsidRPr="007A32AB" w:rsidRDefault="007A32AB">
      <w:r w:rsidRPr="007A32AB">
        <w:t>DI Heide Rothwangl-Heber, Energie Agentur Steiermark</w:t>
      </w:r>
    </w:p>
    <w:p w14:paraId="09994647" w14:textId="77777777" w:rsidR="00C57007" w:rsidRDefault="00C57007">
      <w:pPr>
        <w:rPr>
          <w:b/>
          <w:bCs/>
        </w:rPr>
      </w:pPr>
    </w:p>
    <w:p w14:paraId="5829B8AE" w14:textId="77777777" w:rsidR="002E3149" w:rsidRDefault="002E3149">
      <w:pPr>
        <w:rPr>
          <w:b/>
          <w:bCs/>
        </w:rPr>
      </w:pPr>
    </w:p>
    <w:p w14:paraId="539ECF77" w14:textId="77777777" w:rsidR="00822F32" w:rsidRPr="009E70CA" w:rsidRDefault="00822F32">
      <w:pPr>
        <w:rPr>
          <w:b/>
          <w:bCs/>
        </w:rPr>
      </w:pPr>
      <w:r w:rsidRPr="009E70CA">
        <w:rPr>
          <w:b/>
          <w:bCs/>
        </w:rPr>
        <w:lastRenderedPageBreak/>
        <w:t>Bildtext:</w:t>
      </w:r>
    </w:p>
    <w:p w14:paraId="0E89E36C" w14:textId="77777777" w:rsidR="00674E22" w:rsidRPr="00B14D1A" w:rsidRDefault="00674E22" w:rsidP="00674E22">
      <w:pPr>
        <w:rPr>
          <w:b/>
          <w:lang w:val="de-DE"/>
        </w:rPr>
      </w:pPr>
      <w:r w:rsidRPr="00765605">
        <w:rPr>
          <w:b/>
          <w:lang w:val="de-DE"/>
        </w:rPr>
        <w:t>e5-Audit-2020-Koblach-Gruppe.jpg:</w:t>
      </w:r>
      <w:r w:rsidRPr="00765605">
        <w:rPr>
          <w:bCs/>
          <w:lang w:val="de-DE"/>
        </w:rPr>
        <w:t xml:space="preserve"> Koblach steigerte beim Audit 2020 seine Energieeffizienz um 5 Prozentpunkte und hält gute 3 „e“. Gemeindebetreuer </w:t>
      </w:r>
      <w:r w:rsidR="005C1CA0" w:rsidRPr="00765605">
        <w:rPr>
          <w:bCs/>
          <w:lang w:val="de-DE"/>
        </w:rPr>
        <w:t xml:space="preserve">Andreas Beier </w:t>
      </w:r>
      <w:r w:rsidRPr="00765605">
        <w:rPr>
          <w:bCs/>
          <w:lang w:val="de-DE"/>
        </w:rPr>
        <w:t xml:space="preserve">übergab diese dem e5-Team beim persönlichen Besuch. (Copyright: </w:t>
      </w:r>
      <w:r w:rsidR="00FB116F" w:rsidRPr="00765605">
        <w:rPr>
          <w:bCs/>
          <w:lang w:val="de-DE"/>
        </w:rPr>
        <w:t>Gemeinde Koblach</w:t>
      </w:r>
      <w:r w:rsidRPr="00765605">
        <w:rPr>
          <w:bCs/>
          <w:lang w:val="de-DE"/>
        </w:rPr>
        <w:t>)</w:t>
      </w:r>
    </w:p>
    <w:p w14:paraId="5AE65BE2" w14:textId="77777777" w:rsidR="00AE37FE" w:rsidRDefault="00AE37FE">
      <w:pPr>
        <w:rPr>
          <w:b/>
        </w:rPr>
      </w:pPr>
    </w:p>
    <w:p w14:paraId="525FC90A" w14:textId="77777777" w:rsidR="00674E22" w:rsidRDefault="00674E22">
      <w:pPr>
        <w:rPr>
          <w:b/>
        </w:rPr>
      </w:pPr>
      <w:r w:rsidRPr="00674E22">
        <w:rPr>
          <w:b/>
        </w:rPr>
        <w:t>e5-Audit-2020-Koblach-plastikfrei.</w:t>
      </w:r>
      <w:r>
        <w:rPr>
          <w:b/>
        </w:rPr>
        <w:t xml:space="preserve">jpg: </w:t>
      </w:r>
      <w:r w:rsidRPr="00F21117">
        <w:rPr>
          <w:bCs/>
        </w:rPr>
        <w:t>Das erfolgreiche Mitmachprojekt „Sei dabei, kauf plastikfrei“ setzt die e5-Gemeinde Koblach im nächsten Jahr fort. (Copyright: Gemeinde Koblach)</w:t>
      </w:r>
    </w:p>
    <w:p w14:paraId="3FB0599A" w14:textId="77777777" w:rsidR="00674E22" w:rsidRDefault="00674E22">
      <w:pPr>
        <w:rPr>
          <w:b/>
        </w:rPr>
      </w:pPr>
    </w:p>
    <w:p w14:paraId="6B6A4208" w14:textId="77777777" w:rsidR="00674E22" w:rsidRDefault="00674E22">
      <w:pPr>
        <w:rPr>
          <w:bCs/>
        </w:rPr>
      </w:pPr>
      <w:r w:rsidRPr="00674E22">
        <w:rPr>
          <w:b/>
        </w:rPr>
        <w:t>e5-Audit-2020-Koblach-</w:t>
      </w:r>
      <w:r>
        <w:rPr>
          <w:b/>
        </w:rPr>
        <w:t>Buecherhotel</w:t>
      </w:r>
      <w:r w:rsidRPr="00674E22">
        <w:rPr>
          <w:b/>
        </w:rPr>
        <w:t>.</w:t>
      </w:r>
      <w:r>
        <w:rPr>
          <w:b/>
        </w:rPr>
        <w:t xml:space="preserve">jpg: </w:t>
      </w:r>
      <w:r w:rsidRPr="00674E22">
        <w:rPr>
          <w:bCs/>
        </w:rPr>
        <w:t>In der e5-Gemeinde Koblach wurde das erste e5-Bücherhotel eröffnet. (</w:t>
      </w:r>
      <w:bookmarkStart w:id="0" w:name="_Hlk55978563"/>
      <w:r w:rsidRPr="00674E22">
        <w:rPr>
          <w:bCs/>
        </w:rPr>
        <w:t xml:space="preserve">Copyright: </w:t>
      </w:r>
      <w:bookmarkEnd w:id="0"/>
      <w:r w:rsidRPr="00674E22">
        <w:rPr>
          <w:bCs/>
        </w:rPr>
        <w:t>Gemeinde Koblach)</w:t>
      </w:r>
    </w:p>
    <w:p w14:paraId="66742BFC" w14:textId="77777777" w:rsidR="00F21117" w:rsidRDefault="00F21117">
      <w:pPr>
        <w:rPr>
          <w:bCs/>
        </w:rPr>
      </w:pPr>
    </w:p>
    <w:p w14:paraId="11C83EC9" w14:textId="77777777" w:rsidR="00F21117" w:rsidRDefault="00F21117">
      <w:pPr>
        <w:rPr>
          <w:b/>
        </w:rPr>
      </w:pPr>
      <w:r w:rsidRPr="00F21117">
        <w:rPr>
          <w:b/>
        </w:rPr>
        <w:t>e5-Audit-2020-Koblach-Radservicestation.jpg</w:t>
      </w:r>
      <w:r>
        <w:rPr>
          <w:b/>
        </w:rPr>
        <w:t>:</w:t>
      </w:r>
      <w:r w:rsidRPr="00F21117">
        <w:rPr>
          <w:bCs/>
        </w:rPr>
        <w:t xml:space="preserve"> Mit attraktiver Infrastruktur wie der Rad-Servicestation fördert die e5-Gemeinde Koblach den Umstieg vom Auto aufs Fahrrad. (Copyright: Gemeinde Koblach)</w:t>
      </w:r>
    </w:p>
    <w:p w14:paraId="4A1D6F7F" w14:textId="77777777" w:rsidR="00674E22" w:rsidRDefault="00674E22">
      <w:pPr>
        <w:rPr>
          <w:b/>
        </w:rPr>
      </w:pPr>
    </w:p>
    <w:p w14:paraId="664B4A1A" w14:textId="77777777" w:rsidR="00F21117" w:rsidRDefault="00F21117">
      <w:pPr>
        <w:rPr>
          <w:b/>
        </w:rPr>
      </w:pPr>
    </w:p>
    <w:p w14:paraId="7166C805" w14:textId="77777777" w:rsidR="00822F32" w:rsidRPr="00901FD2" w:rsidRDefault="00AE37FE">
      <w:pPr>
        <w:rPr>
          <w:iCs/>
        </w:rPr>
      </w:pPr>
      <w:r>
        <w:rPr>
          <w:iCs/>
        </w:rPr>
        <w:t xml:space="preserve">Der </w:t>
      </w:r>
      <w:r w:rsidR="00822F32" w:rsidRPr="00E545C0">
        <w:rPr>
          <w:iCs/>
        </w:rPr>
        <w:t>Abdruck</w:t>
      </w:r>
      <w:r w:rsidR="00822F32" w:rsidRPr="00E545C0">
        <w:rPr>
          <w:rFonts w:eastAsia="Arial"/>
          <w:iCs/>
        </w:rPr>
        <w:t xml:space="preserve"> </w:t>
      </w:r>
      <w:r>
        <w:rPr>
          <w:rFonts w:eastAsia="Arial"/>
          <w:iCs/>
        </w:rPr>
        <w:t xml:space="preserve">ist für alle Fotos </w:t>
      </w:r>
      <w:r w:rsidR="00822F32" w:rsidRPr="00E545C0">
        <w:rPr>
          <w:iCs/>
        </w:rPr>
        <w:t>honorarfrei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zur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Berichterstattung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über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das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e5-Programm</w:t>
      </w:r>
      <w:r w:rsidR="00822F32" w:rsidRPr="00E545C0">
        <w:rPr>
          <w:rFonts w:eastAsia="Arial"/>
          <w:iCs/>
        </w:rPr>
        <w:t xml:space="preserve"> </w:t>
      </w:r>
      <w:r w:rsidR="00822F32" w:rsidRPr="00E545C0">
        <w:rPr>
          <w:iCs/>
        </w:rPr>
        <w:t>für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energieeffiziente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Gemeinden.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Angabe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des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Bildnachweises</w:t>
      </w:r>
      <w:r w:rsidR="00822F32" w:rsidRPr="00901FD2">
        <w:rPr>
          <w:rFonts w:eastAsia="Arial"/>
          <w:iCs/>
        </w:rPr>
        <w:t xml:space="preserve"> </w:t>
      </w:r>
      <w:r w:rsidR="00822F32" w:rsidRPr="00901FD2">
        <w:rPr>
          <w:iCs/>
        </w:rPr>
        <w:t>ist</w:t>
      </w:r>
      <w:r w:rsidR="00822F32" w:rsidRPr="00901FD2">
        <w:rPr>
          <w:rFonts w:eastAsia="Arial"/>
          <w:iCs/>
        </w:rPr>
        <w:t xml:space="preserve"> </w:t>
      </w:r>
      <w:r w:rsidR="00901FD2" w:rsidRPr="00901FD2">
        <w:rPr>
          <w:iCs/>
        </w:rPr>
        <w:t>Voraussetzung.</w:t>
      </w:r>
    </w:p>
    <w:p w14:paraId="0F145C55" w14:textId="77777777" w:rsidR="0070622C" w:rsidRDefault="0070622C">
      <w:pPr>
        <w:pStyle w:val="Pzwei"/>
        <w:rPr>
          <w:b/>
          <w:bCs/>
          <w:iCs/>
        </w:rPr>
      </w:pPr>
    </w:p>
    <w:p w14:paraId="1B26EDBE" w14:textId="77777777" w:rsidR="0070622C" w:rsidRDefault="0070622C">
      <w:pPr>
        <w:pStyle w:val="Pzwei"/>
        <w:rPr>
          <w:b/>
          <w:bCs/>
          <w:iCs/>
        </w:rPr>
      </w:pPr>
    </w:p>
    <w:p w14:paraId="3F7B42BA" w14:textId="77777777" w:rsidR="00822F32" w:rsidRDefault="00822F32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für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die</w:t>
      </w:r>
      <w:r>
        <w:rPr>
          <w:rFonts w:eastAsia="Arial"/>
          <w:b/>
          <w:bCs/>
          <w:iCs/>
        </w:rPr>
        <w:t xml:space="preserve"> </w:t>
      </w:r>
      <w:r>
        <w:rPr>
          <w:b/>
          <w:bCs/>
          <w:iCs/>
        </w:rPr>
        <w:t>Redaktionen:</w:t>
      </w:r>
    </w:p>
    <w:p w14:paraId="76BBB5F4" w14:textId="77777777" w:rsidR="00822F32" w:rsidRDefault="00C11C4A">
      <w:pPr>
        <w:pStyle w:val="Pzwei"/>
        <w:rPr>
          <w:bCs/>
          <w:iCs/>
        </w:rPr>
      </w:pPr>
      <w:r>
        <w:rPr>
          <w:bCs/>
          <w:iCs/>
        </w:rPr>
        <w:t>Energieinstitut</w:t>
      </w:r>
      <w:r>
        <w:rPr>
          <w:rFonts w:eastAsia="Arial"/>
          <w:bCs/>
          <w:iCs/>
        </w:rPr>
        <w:t xml:space="preserve"> </w:t>
      </w:r>
      <w:r>
        <w:rPr>
          <w:bCs/>
          <w:iCs/>
        </w:rPr>
        <w:t xml:space="preserve">Vorarlberg, </w:t>
      </w:r>
      <w:r w:rsidR="00E40A48">
        <w:rPr>
          <w:bCs/>
          <w:iCs/>
        </w:rPr>
        <w:t>e5-</w:t>
      </w:r>
      <w:r>
        <w:rPr>
          <w:bCs/>
          <w:iCs/>
        </w:rPr>
        <w:t xml:space="preserve">Programmleiter </w:t>
      </w:r>
      <w:r w:rsidR="00C861BB">
        <w:rPr>
          <w:bCs/>
          <w:iCs/>
        </w:rPr>
        <w:t>Gregor Sellner</w:t>
      </w:r>
      <w:r>
        <w:rPr>
          <w:bCs/>
          <w:iCs/>
        </w:rPr>
        <w:t xml:space="preserve">, </w:t>
      </w:r>
      <w:r w:rsidR="00822F32">
        <w:rPr>
          <w:bCs/>
          <w:iCs/>
        </w:rPr>
        <w:t>Telefon</w:t>
      </w:r>
      <w:r w:rsidR="00B511CA">
        <w:rPr>
          <w:bCs/>
          <w:iCs/>
        </w:rPr>
        <w:t xml:space="preserve"> 05572/31202-25,</w:t>
      </w:r>
      <w:r w:rsidR="00822F32">
        <w:rPr>
          <w:rFonts w:eastAsia="Arial"/>
          <w:iCs/>
        </w:rPr>
        <w:t xml:space="preserve"> </w:t>
      </w:r>
      <w:r w:rsidR="00822F32">
        <w:rPr>
          <w:iCs/>
        </w:rPr>
        <w:br/>
      </w:r>
      <w:r w:rsidR="00822F32">
        <w:rPr>
          <w:bCs/>
          <w:iCs/>
        </w:rPr>
        <w:t>Mail</w:t>
      </w:r>
      <w:r w:rsidR="00822F32">
        <w:rPr>
          <w:rFonts w:eastAsia="Arial"/>
          <w:bCs/>
          <w:iCs/>
        </w:rPr>
        <w:t xml:space="preserve"> </w:t>
      </w:r>
      <w:hyperlink r:id="rId9" w:history="1">
        <w:r w:rsidR="00C861BB" w:rsidRPr="00DE5D8F">
          <w:rPr>
            <w:rStyle w:val="Hyperlink"/>
          </w:rPr>
          <w:t>gregor.sellner@energieinstitut.at</w:t>
        </w:r>
      </w:hyperlink>
      <w:r w:rsidR="00C861BB">
        <w:t xml:space="preserve"> </w:t>
      </w:r>
    </w:p>
    <w:p w14:paraId="1A40506C" w14:textId="77777777" w:rsidR="00822F32" w:rsidRDefault="00C11C4A">
      <w:pPr>
        <w:pStyle w:val="Pzwei"/>
      </w:pPr>
      <w:r>
        <w:rPr>
          <w:bCs/>
          <w:iCs/>
        </w:rPr>
        <w:t>Pzwei.</w:t>
      </w:r>
      <w:r>
        <w:rPr>
          <w:rFonts w:eastAsia="Arial"/>
          <w:bCs/>
          <w:iCs/>
        </w:rPr>
        <w:t xml:space="preserve"> </w:t>
      </w:r>
      <w:r>
        <w:rPr>
          <w:bCs/>
          <w:iCs/>
        </w:rPr>
        <w:t xml:space="preserve">Pressearbeit, </w:t>
      </w:r>
      <w:r w:rsidR="00822F32">
        <w:rPr>
          <w:bCs/>
          <w:iCs/>
        </w:rPr>
        <w:t>Daniela</w:t>
      </w:r>
      <w:r w:rsidR="00822F32">
        <w:rPr>
          <w:rFonts w:eastAsia="Arial"/>
          <w:bCs/>
          <w:iCs/>
        </w:rPr>
        <w:t xml:space="preserve"> </w:t>
      </w:r>
      <w:r w:rsidR="00822F32">
        <w:rPr>
          <w:bCs/>
          <w:iCs/>
        </w:rPr>
        <w:t>Kaulfus,</w:t>
      </w:r>
      <w:r>
        <w:rPr>
          <w:bCs/>
          <w:iCs/>
        </w:rPr>
        <w:t xml:space="preserve"> </w:t>
      </w:r>
      <w:r w:rsidR="00822F32">
        <w:rPr>
          <w:bCs/>
          <w:iCs/>
        </w:rPr>
        <w:t>Telefon</w:t>
      </w:r>
      <w:r w:rsidR="00822F32">
        <w:rPr>
          <w:rFonts w:eastAsia="Arial"/>
          <w:bCs/>
          <w:iCs/>
        </w:rPr>
        <w:t xml:space="preserve"> </w:t>
      </w:r>
      <w:r w:rsidR="00062CE6">
        <w:rPr>
          <w:rFonts w:eastAsia="Arial"/>
          <w:bCs/>
          <w:iCs/>
        </w:rPr>
        <w:t>05574/44715-28</w:t>
      </w:r>
      <w:r w:rsidR="00822F32">
        <w:rPr>
          <w:bCs/>
          <w:iCs/>
        </w:rPr>
        <w:t>,</w:t>
      </w:r>
      <w:r w:rsidR="00822F32">
        <w:rPr>
          <w:rFonts w:eastAsia="Arial"/>
          <w:bCs/>
          <w:iCs/>
        </w:rPr>
        <w:t xml:space="preserve"> </w:t>
      </w:r>
      <w:r w:rsidR="00822F32">
        <w:rPr>
          <w:bCs/>
          <w:iCs/>
        </w:rPr>
        <w:t>Mail</w:t>
      </w:r>
      <w:r w:rsidR="00822F32">
        <w:rPr>
          <w:rFonts w:eastAsia="Arial"/>
          <w:bCs/>
          <w:iCs/>
        </w:rPr>
        <w:t xml:space="preserve"> </w:t>
      </w:r>
      <w:hyperlink r:id="rId10" w:history="1">
        <w:r w:rsidR="00822F32">
          <w:rPr>
            <w:rStyle w:val="Hyperlink"/>
          </w:rPr>
          <w:t>daniela.kaulfus@pzwei.at</w:t>
        </w:r>
      </w:hyperlink>
    </w:p>
    <w:sectPr w:rsidR="00822F32" w:rsidSect="005A7E22">
      <w:headerReference w:type="even" r:id="rId11"/>
      <w:headerReference w:type="default" r:id="rId12"/>
      <w:pgSz w:w="12240" w:h="15840"/>
      <w:pgMar w:top="418" w:right="1417" w:bottom="1134" w:left="1417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62C1" w14:textId="77777777" w:rsidR="009F3026" w:rsidRDefault="009F3026">
      <w:pPr>
        <w:spacing w:line="240" w:lineRule="auto"/>
      </w:pPr>
      <w:r>
        <w:separator/>
      </w:r>
    </w:p>
  </w:endnote>
  <w:endnote w:type="continuationSeparator" w:id="0">
    <w:p w14:paraId="4C4EB696" w14:textId="77777777" w:rsidR="009F3026" w:rsidRDefault="009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FF99" w14:textId="77777777" w:rsidR="009F3026" w:rsidRDefault="009F3026">
      <w:pPr>
        <w:spacing w:line="240" w:lineRule="auto"/>
      </w:pPr>
      <w:r>
        <w:separator/>
      </w:r>
    </w:p>
  </w:footnote>
  <w:footnote w:type="continuationSeparator" w:id="0">
    <w:p w14:paraId="6FBDA0F7" w14:textId="77777777" w:rsidR="009F3026" w:rsidRDefault="009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C6CE" w14:textId="77777777" w:rsidR="00F10FB6" w:rsidRDefault="006C50FB" w:rsidP="005A7E2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DD44152" wp14:editId="72DAAAAC">
          <wp:extent cx="2529205" cy="6013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008EA0" w14:textId="77777777" w:rsidR="00F10FB6" w:rsidRDefault="00F10FB6" w:rsidP="005A7E2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7916" w14:textId="77777777" w:rsidR="00F10FB6" w:rsidRDefault="006C50FB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49D2780D" wp14:editId="2A547665">
          <wp:extent cx="2529205" cy="60134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BC0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8E1363"/>
    <w:multiLevelType w:val="hybridMultilevel"/>
    <w:tmpl w:val="C406B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D2"/>
    <w:rsid w:val="00025439"/>
    <w:rsid w:val="0002793F"/>
    <w:rsid w:val="00031F91"/>
    <w:rsid w:val="00032376"/>
    <w:rsid w:val="00036274"/>
    <w:rsid w:val="00047FFB"/>
    <w:rsid w:val="00050B4A"/>
    <w:rsid w:val="000558C6"/>
    <w:rsid w:val="00060C2D"/>
    <w:rsid w:val="00062CE6"/>
    <w:rsid w:val="00065D18"/>
    <w:rsid w:val="00066B37"/>
    <w:rsid w:val="00070E75"/>
    <w:rsid w:val="00072598"/>
    <w:rsid w:val="00072CDB"/>
    <w:rsid w:val="00080359"/>
    <w:rsid w:val="000826CE"/>
    <w:rsid w:val="00091392"/>
    <w:rsid w:val="00094099"/>
    <w:rsid w:val="00094F84"/>
    <w:rsid w:val="00096A52"/>
    <w:rsid w:val="000A006F"/>
    <w:rsid w:val="000A208B"/>
    <w:rsid w:val="000A26AF"/>
    <w:rsid w:val="000A6BF6"/>
    <w:rsid w:val="000C1C64"/>
    <w:rsid w:val="000D3F54"/>
    <w:rsid w:val="000E03F0"/>
    <w:rsid w:val="000E068D"/>
    <w:rsid w:val="000E7E56"/>
    <w:rsid w:val="000F13B3"/>
    <w:rsid w:val="000F1400"/>
    <w:rsid w:val="000F22E8"/>
    <w:rsid w:val="000F27DE"/>
    <w:rsid w:val="000F296D"/>
    <w:rsid w:val="000F3807"/>
    <w:rsid w:val="000F54A6"/>
    <w:rsid w:val="00100F90"/>
    <w:rsid w:val="001015D2"/>
    <w:rsid w:val="00111FDC"/>
    <w:rsid w:val="00125DA8"/>
    <w:rsid w:val="00133923"/>
    <w:rsid w:val="00141D5A"/>
    <w:rsid w:val="00150042"/>
    <w:rsid w:val="00162622"/>
    <w:rsid w:val="001641AA"/>
    <w:rsid w:val="00165DD4"/>
    <w:rsid w:val="00165EB4"/>
    <w:rsid w:val="00166C13"/>
    <w:rsid w:val="00167179"/>
    <w:rsid w:val="00173038"/>
    <w:rsid w:val="00177FC6"/>
    <w:rsid w:val="00180E3B"/>
    <w:rsid w:val="001823AF"/>
    <w:rsid w:val="00183B20"/>
    <w:rsid w:val="0019180C"/>
    <w:rsid w:val="00192197"/>
    <w:rsid w:val="001946EB"/>
    <w:rsid w:val="001A3C38"/>
    <w:rsid w:val="001A5E3E"/>
    <w:rsid w:val="001A70B5"/>
    <w:rsid w:val="001C0F4F"/>
    <w:rsid w:val="001C33BA"/>
    <w:rsid w:val="001C682B"/>
    <w:rsid w:val="001D06A9"/>
    <w:rsid w:val="001D192F"/>
    <w:rsid w:val="001D2A8B"/>
    <w:rsid w:val="001D35E5"/>
    <w:rsid w:val="001F060F"/>
    <w:rsid w:val="00200868"/>
    <w:rsid w:val="002016F2"/>
    <w:rsid w:val="0022298E"/>
    <w:rsid w:val="00225AAF"/>
    <w:rsid w:val="00237E43"/>
    <w:rsid w:val="002469FF"/>
    <w:rsid w:val="00247016"/>
    <w:rsid w:val="00252726"/>
    <w:rsid w:val="00253719"/>
    <w:rsid w:val="0025578B"/>
    <w:rsid w:val="00263EA9"/>
    <w:rsid w:val="002649FC"/>
    <w:rsid w:val="00272B32"/>
    <w:rsid w:val="0027383A"/>
    <w:rsid w:val="00275B27"/>
    <w:rsid w:val="0028675A"/>
    <w:rsid w:val="00287C3A"/>
    <w:rsid w:val="00294D09"/>
    <w:rsid w:val="0029748B"/>
    <w:rsid w:val="002A450A"/>
    <w:rsid w:val="002A5CEC"/>
    <w:rsid w:val="002A76CB"/>
    <w:rsid w:val="002B62C7"/>
    <w:rsid w:val="002B726D"/>
    <w:rsid w:val="002B7BA7"/>
    <w:rsid w:val="002D0E3D"/>
    <w:rsid w:val="002D4D45"/>
    <w:rsid w:val="002E3149"/>
    <w:rsid w:val="002E43F9"/>
    <w:rsid w:val="002F1CFD"/>
    <w:rsid w:val="002F5486"/>
    <w:rsid w:val="002F7AD1"/>
    <w:rsid w:val="00302D43"/>
    <w:rsid w:val="00311F18"/>
    <w:rsid w:val="00321AAC"/>
    <w:rsid w:val="00326DED"/>
    <w:rsid w:val="00330E5D"/>
    <w:rsid w:val="00333A59"/>
    <w:rsid w:val="0033634D"/>
    <w:rsid w:val="0034032D"/>
    <w:rsid w:val="003572F0"/>
    <w:rsid w:val="00361950"/>
    <w:rsid w:val="00362D28"/>
    <w:rsid w:val="0036303B"/>
    <w:rsid w:val="0037538E"/>
    <w:rsid w:val="003808D8"/>
    <w:rsid w:val="00390D46"/>
    <w:rsid w:val="00395FE2"/>
    <w:rsid w:val="003A086D"/>
    <w:rsid w:val="003A3A2A"/>
    <w:rsid w:val="003A432D"/>
    <w:rsid w:val="003C1EFB"/>
    <w:rsid w:val="003D12D0"/>
    <w:rsid w:val="003D327E"/>
    <w:rsid w:val="003E3CAD"/>
    <w:rsid w:val="0040323B"/>
    <w:rsid w:val="004036A0"/>
    <w:rsid w:val="00405553"/>
    <w:rsid w:val="004066F3"/>
    <w:rsid w:val="00427823"/>
    <w:rsid w:val="00441054"/>
    <w:rsid w:val="00443AA5"/>
    <w:rsid w:val="00447D88"/>
    <w:rsid w:val="00450DAD"/>
    <w:rsid w:val="00487439"/>
    <w:rsid w:val="004A064B"/>
    <w:rsid w:val="004A26A3"/>
    <w:rsid w:val="004A4D8E"/>
    <w:rsid w:val="004B6822"/>
    <w:rsid w:val="004C525D"/>
    <w:rsid w:val="004D2A33"/>
    <w:rsid w:val="004E50F3"/>
    <w:rsid w:val="004E7752"/>
    <w:rsid w:val="004E7802"/>
    <w:rsid w:val="004F1BCB"/>
    <w:rsid w:val="005044BA"/>
    <w:rsid w:val="00531E74"/>
    <w:rsid w:val="0054543A"/>
    <w:rsid w:val="005534A5"/>
    <w:rsid w:val="00555036"/>
    <w:rsid w:val="005564DC"/>
    <w:rsid w:val="00560233"/>
    <w:rsid w:val="00563FE3"/>
    <w:rsid w:val="0058305B"/>
    <w:rsid w:val="00583198"/>
    <w:rsid w:val="00585CBD"/>
    <w:rsid w:val="00594DDD"/>
    <w:rsid w:val="005A16A6"/>
    <w:rsid w:val="005A2368"/>
    <w:rsid w:val="005A2D61"/>
    <w:rsid w:val="005A5208"/>
    <w:rsid w:val="005A7E22"/>
    <w:rsid w:val="005B4BB1"/>
    <w:rsid w:val="005B546A"/>
    <w:rsid w:val="005B5503"/>
    <w:rsid w:val="005C1CA0"/>
    <w:rsid w:val="005C3FC3"/>
    <w:rsid w:val="005C4025"/>
    <w:rsid w:val="005C4E39"/>
    <w:rsid w:val="005D0408"/>
    <w:rsid w:val="005D3B16"/>
    <w:rsid w:val="005D3C27"/>
    <w:rsid w:val="005D43E8"/>
    <w:rsid w:val="005E43F7"/>
    <w:rsid w:val="005F4D7D"/>
    <w:rsid w:val="005F7E6D"/>
    <w:rsid w:val="006017C2"/>
    <w:rsid w:val="00604E2A"/>
    <w:rsid w:val="006116CC"/>
    <w:rsid w:val="00616330"/>
    <w:rsid w:val="0062492E"/>
    <w:rsid w:val="00626C42"/>
    <w:rsid w:val="00636C1A"/>
    <w:rsid w:val="00643F17"/>
    <w:rsid w:val="0064680F"/>
    <w:rsid w:val="00652438"/>
    <w:rsid w:val="00657F17"/>
    <w:rsid w:val="00665E47"/>
    <w:rsid w:val="00666CFB"/>
    <w:rsid w:val="00671698"/>
    <w:rsid w:val="0067461A"/>
    <w:rsid w:val="00674E22"/>
    <w:rsid w:val="00674FEB"/>
    <w:rsid w:val="00681215"/>
    <w:rsid w:val="00686EC5"/>
    <w:rsid w:val="00697CA3"/>
    <w:rsid w:val="006A353E"/>
    <w:rsid w:val="006A740F"/>
    <w:rsid w:val="006B11E3"/>
    <w:rsid w:val="006B2291"/>
    <w:rsid w:val="006B4954"/>
    <w:rsid w:val="006B58C7"/>
    <w:rsid w:val="006C50FB"/>
    <w:rsid w:val="006C5514"/>
    <w:rsid w:val="006C74E8"/>
    <w:rsid w:val="006D0767"/>
    <w:rsid w:val="006D7E0E"/>
    <w:rsid w:val="006E56E5"/>
    <w:rsid w:val="006E752D"/>
    <w:rsid w:val="006F01C9"/>
    <w:rsid w:val="0070622C"/>
    <w:rsid w:val="00706C04"/>
    <w:rsid w:val="0071361C"/>
    <w:rsid w:val="00726517"/>
    <w:rsid w:val="00730B92"/>
    <w:rsid w:val="0073597D"/>
    <w:rsid w:val="00740D40"/>
    <w:rsid w:val="00745E39"/>
    <w:rsid w:val="007610E5"/>
    <w:rsid w:val="00765605"/>
    <w:rsid w:val="00766295"/>
    <w:rsid w:val="00766CEF"/>
    <w:rsid w:val="007719CA"/>
    <w:rsid w:val="007807BE"/>
    <w:rsid w:val="007811D9"/>
    <w:rsid w:val="00781236"/>
    <w:rsid w:val="0078509C"/>
    <w:rsid w:val="00787453"/>
    <w:rsid w:val="007A32AB"/>
    <w:rsid w:val="007A6C31"/>
    <w:rsid w:val="007B1A41"/>
    <w:rsid w:val="007C3402"/>
    <w:rsid w:val="007C3D26"/>
    <w:rsid w:val="007C435D"/>
    <w:rsid w:val="007C691D"/>
    <w:rsid w:val="007E1BFB"/>
    <w:rsid w:val="007E1EC5"/>
    <w:rsid w:val="007E686B"/>
    <w:rsid w:val="007E7E90"/>
    <w:rsid w:val="007F146B"/>
    <w:rsid w:val="00814452"/>
    <w:rsid w:val="008167F3"/>
    <w:rsid w:val="00822F32"/>
    <w:rsid w:val="008233F5"/>
    <w:rsid w:val="0082661D"/>
    <w:rsid w:val="008342A5"/>
    <w:rsid w:val="008342E3"/>
    <w:rsid w:val="00836BFA"/>
    <w:rsid w:val="00837282"/>
    <w:rsid w:val="008375B4"/>
    <w:rsid w:val="00837C7F"/>
    <w:rsid w:val="00845801"/>
    <w:rsid w:val="00850C0F"/>
    <w:rsid w:val="00856840"/>
    <w:rsid w:val="00863256"/>
    <w:rsid w:val="008851EB"/>
    <w:rsid w:val="0089311A"/>
    <w:rsid w:val="008974EF"/>
    <w:rsid w:val="008A4A20"/>
    <w:rsid w:val="008B4FDF"/>
    <w:rsid w:val="008C2349"/>
    <w:rsid w:val="008D5D1C"/>
    <w:rsid w:val="008E378E"/>
    <w:rsid w:val="008E46AF"/>
    <w:rsid w:val="008E7459"/>
    <w:rsid w:val="008F2A0C"/>
    <w:rsid w:val="00901FD2"/>
    <w:rsid w:val="00903EFC"/>
    <w:rsid w:val="00904C66"/>
    <w:rsid w:val="00912B52"/>
    <w:rsid w:val="00916637"/>
    <w:rsid w:val="00922619"/>
    <w:rsid w:val="00936B94"/>
    <w:rsid w:val="00943FE4"/>
    <w:rsid w:val="00951480"/>
    <w:rsid w:val="0095705E"/>
    <w:rsid w:val="0096404A"/>
    <w:rsid w:val="00966DFA"/>
    <w:rsid w:val="009767B9"/>
    <w:rsid w:val="00983214"/>
    <w:rsid w:val="00997712"/>
    <w:rsid w:val="009A5942"/>
    <w:rsid w:val="009B75BB"/>
    <w:rsid w:val="009D0D3B"/>
    <w:rsid w:val="009D361A"/>
    <w:rsid w:val="009D6E40"/>
    <w:rsid w:val="009D7CCD"/>
    <w:rsid w:val="009E3347"/>
    <w:rsid w:val="009E34DA"/>
    <w:rsid w:val="009E3E24"/>
    <w:rsid w:val="009E70CA"/>
    <w:rsid w:val="009F138B"/>
    <w:rsid w:val="009F3026"/>
    <w:rsid w:val="009F7D83"/>
    <w:rsid w:val="00A005D8"/>
    <w:rsid w:val="00A02F2E"/>
    <w:rsid w:val="00A120C5"/>
    <w:rsid w:val="00A21253"/>
    <w:rsid w:val="00A25898"/>
    <w:rsid w:val="00A346F4"/>
    <w:rsid w:val="00A4227A"/>
    <w:rsid w:val="00A43EF3"/>
    <w:rsid w:val="00A43F38"/>
    <w:rsid w:val="00A60754"/>
    <w:rsid w:val="00A702B4"/>
    <w:rsid w:val="00A73353"/>
    <w:rsid w:val="00A832F4"/>
    <w:rsid w:val="00A861A5"/>
    <w:rsid w:val="00A8700F"/>
    <w:rsid w:val="00AA7A1E"/>
    <w:rsid w:val="00AB38AE"/>
    <w:rsid w:val="00AC19AC"/>
    <w:rsid w:val="00AC2922"/>
    <w:rsid w:val="00AD6ACE"/>
    <w:rsid w:val="00AE35D8"/>
    <w:rsid w:val="00AE37FE"/>
    <w:rsid w:val="00AF3535"/>
    <w:rsid w:val="00B0036C"/>
    <w:rsid w:val="00B00B81"/>
    <w:rsid w:val="00B07254"/>
    <w:rsid w:val="00B1343B"/>
    <w:rsid w:val="00B175FF"/>
    <w:rsid w:val="00B23920"/>
    <w:rsid w:val="00B33195"/>
    <w:rsid w:val="00B363E2"/>
    <w:rsid w:val="00B437B8"/>
    <w:rsid w:val="00B44861"/>
    <w:rsid w:val="00B44F35"/>
    <w:rsid w:val="00B511CA"/>
    <w:rsid w:val="00B52B15"/>
    <w:rsid w:val="00B6395E"/>
    <w:rsid w:val="00B6421C"/>
    <w:rsid w:val="00B65601"/>
    <w:rsid w:val="00B669BF"/>
    <w:rsid w:val="00B67327"/>
    <w:rsid w:val="00B7637F"/>
    <w:rsid w:val="00B85B86"/>
    <w:rsid w:val="00B95ABF"/>
    <w:rsid w:val="00BB018E"/>
    <w:rsid w:val="00BB7C6F"/>
    <w:rsid w:val="00BC3FF7"/>
    <w:rsid w:val="00BD5007"/>
    <w:rsid w:val="00BE30A8"/>
    <w:rsid w:val="00BE5C02"/>
    <w:rsid w:val="00BE6968"/>
    <w:rsid w:val="00C03BD5"/>
    <w:rsid w:val="00C11C4A"/>
    <w:rsid w:val="00C17D70"/>
    <w:rsid w:val="00C4132C"/>
    <w:rsid w:val="00C46B53"/>
    <w:rsid w:val="00C50826"/>
    <w:rsid w:val="00C57007"/>
    <w:rsid w:val="00C850A8"/>
    <w:rsid w:val="00C861BB"/>
    <w:rsid w:val="00CA1A64"/>
    <w:rsid w:val="00CA2BC8"/>
    <w:rsid w:val="00CA3E45"/>
    <w:rsid w:val="00CB2C70"/>
    <w:rsid w:val="00CB3A5A"/>
    <w:rsid w:val="00CB7E3F"/>
    <w:rsid w:val="00CC3DAE"/>
    <w:rsid w:val="00CD2BAB"/>
    <w:rsid w:val="00CF2FCD"/>
    <w:rsid w:val="00D011B0"/>
    <w:rsid w:val="00D109F4"/>
    <w:rsid w:val="00D13DA2"/>
    <w:rsid w:val="00D21C8F"/>
    <w:rsid w:val="00D32108"/>
    <w:rsid w:val="00D45F8F"/>
    <w:rsid w:val="00D46264"/>
    <w:rsid w:val="00D50EF5"/>
    <w:rsid w:val="00D60592"/>
    <w:rsid w:val="00D76B0B"/>
    <w:rsid w:val="00D82F1B"/>
    <w:rsid w:val="00DA34C3"/>
    <w:rsid w:val="00DB7158"/>
    <w:rsid w:val="00DC2A5E"/>
    <w:rsid w:val="00DC4FD2"/>
    <w:rsid w:val="00DD0ED3"/>
    <w:rsid w:val="00DD2C2D"/>
    <w:rsid w:val="00DD7DA1"/>
    <w:rsid w:val="00DF2515"/>
    <w:rsid w:val="00DF388D"/>
    <w:rsid w:val="00DF6315"/>
    <w:rsid w:val="00E07206"/>
    <w:rsid w:val="00E13317"/>
    <w:rsid w:val="00E177F7"/>
    <w:rsid w:val="00E24846"/>
    <w:rsid w:val="00E274CD"/>
    <w:rsid w:val="00E3436E"/>
    <w:rsid w:val="00E40A48"/>
    <w:rsid w:val="00E410C4"/>
    <w:rsid w:val="00E50FB1"/>
    <w:rsid w:val="00E545C0"/>
    <w:rsid w:val="00E5798D"/>
    <w:rsid w:val="00E57A20"/>
    <w:rsid w:val="00E67D5B"/>
    <w:rsid w:val="00E76355"/>
    <w:rsid w:val="00E7765D"/>
    <w:rsid w:val="00E83F3E"/>
    <w:rsid w:val="00E9573F"/>
    <w:rsid w:val="00E95D5B"/>
    <w:rsid w:val="00EA702B"/>
    <w:rsid w:val="00EC1EC4"/>
    <w:rsid w:val="00ED35A6"/>
    <w:rsid w:val="00EE24A1"/>
    <w:rsid w:val="00EE3297"/>
    <w:rsid w:val="00EF06A9"/>
    <w:rsid w:val="00F04A9D"/>
    <w:rsid w:val="00F10FB6"/>
    <w:rsid w:val="00F11A73"/>
    <w:rsid w:val="00F148D9"/>
    <w:rsid w:val="00F16DFE"/>
    <w:rsid w:val="00F16F1B"/>
    <w:rsid w:val="00F21117"/>
    <w:rsid w:val="00F23662"/>
    <w:rsid w:val="00F253A0"/>
    <w:rsid w:val="00F4381B"/>
    <w:rsid w:val="00F55AC1"/>
    <w:rsid w:val="00F60068"/>
    <w:rsid w:val="00F61075"/>
    <w:rsid w:val="00F6221E"/>
    <w:rsid w:val="00F6538C"/>
    <w:rsid w:val="00F67C7E"/>
    <w:rsid w:val="00F709FA"/>
    <w:rsid w:val="00F80ABE"/>
    <w:rsid w:val="00F85E5F"/>
    <w:rsid w:val="00F929E8"/>
    <w:rsid w:val="00FA2517"/>
    <w:rsid w:val="00FA2F91"/>
    <w:rsid w:val="00FA3806"/>
    <w:rsid w:val="00FB116F"/>
    <w:rsid w:val="00FB371C"/>
    <w:rsid w:val="00FB7D08"/>
    <w:rsid w:val="00FC58E1"/>
    <w:rsid w:val="00FC610D"/>
    <w:rsid w:val="00FC6DE7"/>
    <w:rsid w:val="00FD64C3"/>
    <w:rsid w:val="00FE64A4"/>
    <w:rsid w:val="00FF5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D3C43EA"/>
  <w15:chartTrackingRefBased/>
  <w15:docId w15:val="{2F5B7CD6-9D42-401F-AEA1-4A1679FD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90" w:lineRule="atLeast"/>
    </w:pPr>
    <w:rPr>
      <w:rFonts w:ascii="Arial" w:hAnsi="Arial" w:cs="Arial"/>
      <w:w w:val="104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hAnsi="Univers-Black"/>
      <w:bCs/>
      <w:kern w:val="1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bsatz-Standardschriftart3">
    <w:name w:val="Absatz-Standardschriftart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Pr>
      <w:bCs/>
      <w:i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zwei">
    <w:name w:val="Pzwei"/>
    <w:basedOn w:val="Standard"/>
  </w:style>
  <w:style w:type="paragraph" w:styleId="Kopfzeile">
    <w:name w:val="header"/>
    <w:basedOn w:val="Standard"/>
    <w:pPr>
      <w:suppressLineNumbers/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6295"/>
    <w:rPr>
      <w:rFonts w:ascii="Tahoma" w:hAnsi="Tahoma" w:cs="Tahoma"/>
      <w:w w:val="104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83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45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45801"/>
    <w:rPr>
      <w:rFonts w:ascii="Arial" w:hAnsi="Arial" w:cs="Arial"/>
      <w:w w:val="10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8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5801"/>
    <w:rPr>
      <w:rFonts w:ascii="Arial" w:hAnsi="Arial" w:cs="Arial"/>
      <w:b/>
      <w:bCs/>
      <w:w w:val="10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institut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or.sellner@energieinstitu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08D9-240C-4642-AA83-5D0D3A0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Presseaussendung</vt:lpstr>
      <vt:lpstr>Presseaussendung</vt:lpstr>
    </vt:vector>
  </TitlesOfParts>
  <Company>Microsoft</Company>
  <LinksUpToDate>false</LinksUpToDate>
  <CharactersWithSpaces>5650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mailto:gregor.sellner@energieinstitut.at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http://www.energieinstitut.at/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Presseaussendung</dc:title>
  <dc:subject/>
  <dc:creator>Wolfgang Pendl</dc:creator>
  <cp:keywords/>
  <cp:lastModifiedBy>Daniela Kaulfus</cp:lastModifiedBy>
  <cp:revision>5</cp:revision>
  <cp:lastPrinted>2018-10-02T10:41:00Z</cp:lastPrinted>
  <dcterms:created xsi:type="dcterms:W3CDTF">2020-11-25T12:20:00Z</dcterms:created>
  <dcterms:modified xsi:type="dcterms:W3CDTF">2020-11-26T13:22:00Z</dcterms:modified>
</cp:coreProperties>
</file>