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EF3C" w14:textId="77777777" w:rsidR="004D5E25" w:rsidRDefault="004D5E25" w:rsidP="004D5E25">
      <w:pPr>
        <w:pStyle w:val="Pzwei"/>
      </w:pPr>
      <w:r>
        <w:t>Presseaussendung</w:t>
      </w:r>
    </w:p>
    <w:p w14:paraId="2815A7CA" w14:textId="77777777" w:rsidR="004D5E25" w:rsidRDefault="004D5E25" w:rsidP="004D5E25">
      <w:pPr>
        <w:pStyle w:val="Pzwei"/>
      </w:pPr>
      <w:r>
        <w:t>Energieinstitut</w:t>
      </w:r>
      <w:r>
        <w:rPr>
          <w:rFonts w:eastAsia="Arial"/>
        </w:rPr>
        <w:t xml:space="preserve"> </w:t>
      </w:r>
      <w:r>
        <w:t>Vorarlberg</w:t>
      </w:r>
    </w:p>
    <w:p w14:paraId="61D2C5CD" w14:textId="77777777" w:rsidR="004D5E25" w:rsidRDefault="004D5E25" w:rsidP="004D5E25">
      <w:pPr>
        <w:pStyle w:val="Pzwei"/>
      </w:pPr>
    </w:p>
    <w:p w14:paraId="6DFB2602" w14:textId="77777777" w:rsidR="004D5E25" w:rsidRDefault="004D5E25" w:rsidP="004D5E25">
      <w:pPr>
        <w:pStyle w:val="Pzwei"/>
      </w:pPr>
    </w:p>
    <w:p w14:paraId="56EE0114" w14:textId="77777777" w:rsidR="004D5E25" w:rsidRPr="009767B9" w:rsidRDefault="004D5E25" w:rsidP="004D5E25">
      <w:pPr>
        <w:pStyle w:val="Pzwei"/>
        <w:rPr>
          <w:b/>
        </w:rPr>
      </w:pPr>
      <w:r>
        <w:rPr>
          <w:b/>
        </w:rPr>
        <w:t xml:space="preserve">e5-Neueinsteiger Bludenz, Brand und </w:t>
      </w:r>
      <w:proofErr w:type="spellStart"/>
      <w:r>
        <w:rPr>
          <w:b/>
        </w:rPr>
        <w:t>Dalaas</w:t>
      </w:r>
      <w:proofErr w:type="spellEnd"/>
      <w:r>
        <w:rPr>
          <w:b/>
        </w:rPr>
        <w:t xml:space="preserve"> erfolgreich erstauditiert</w:t>
      </w:r>
    </w:p>
    <w:p w14:paraId="03AC3AE7" w14:textId="77777777" w:rsidR="004D5E25" w:rsidRDefault="004D5E25" w:rsidP="004D5E25">
      <w:pPr>
        <w:pStyle w:val="Pzwei"/>
      </w:pPr>
      <w:r>
        <w:t>Gemeinde Nenzing steigert ihre Energieeffizienz und hält hervorragende 4 „e“</w:t>
      </w:r>
    </w:p>
    <w:p w14:paraId="015C7335" w14:textId="77777777" w:rsidR="004D5E25" w:rsidRPr="00F11A73" w:rsidRDefault="004D5E25" w:rsidP="004D5E25">
      <w:pPr>
        <w:pStyle w:val="Pzwei"/>
      </w:pPr>
    </w:p>
    <w:p w14:paraId="52BC7013" w14:textId="0FFB0B02" w:rsidR="004D5E25" w:rsidRPr="00287C3A" w:rsidRDefault="004D5E25" w:rsidP="004D5E25">
      <w:pPr>
        <w:pStyle w:val="Pzwei"/>
        <w:rPr>
          <w:i/>
        </w:rPr>
      </w:pPr>
      <w:r w:rsidRPr="00287C3A">
        <w:rPr>
          <w:i/>
        </w:rPr>
        <w:t xml:space="preserve">Dornbirn, </w:t>
      </w:r>
      <w:r w:rsidR="00911761">
        <w:rPr>
          <w:i/>
        </w:rPr>
        <w:t>1</w:t>
      </w:r>
      <w:r w:rsidRPr="00287C3A">
        <w:rPr>
          <w:i/>
        </w:rPr>
        <w:t xml:space="preserve">. </w:t>
      </w:r>
      <w:r w:rsidR="00891447">
        <w:rPr>
          <w:i/>
        </w:rPr>
        <w:t>Dezember</w:t>
      </w:r>
      <w:r w:rsidRPr="00287C3A">
        <w:rPr>
          <w:i/>
        </w:rPr>
        <w:t xml:space="preserve"> 2020 – Die Hälfte aller Vorarlberger Gemeinden, also 48, sind mittlerweile im Landesprogramm für energieeffiziente Gemeinden aktiv. Zehn traten heuer zum Audit a</w:t>
      </w:r>
      <w:r>
        <w:rPr>
          <w:i/>
        </w:rPr>
        <w:t>n, vier davon aus dem Bezirk Bludenz:</w:t>
      </w:r>
      <w:r w:rsidRPr="00287C3A">
        <w:rPr>
          <w:i/>
        </w:rPr>
        <w:t xml:space="preserve"> Nenzing </w:t>
      </w:r>
      <w:r>
        <w:rPr>
          <w:i/>
        </w:rPr>
        <w:t xml:space="preserve">konnte prozentuell zulegen und verteidigt damit den </w:t>
      </w:r>
      <w:r w:rsidRPr="00287C3A">
        <w:rPr>
          <w:i/>
        </w:rPr>
        <w:t>4</w:t>
      </w:r>
      <w:r>
        <w:rPr>
          <w:i/>
        </w:rPr>
        <w:t>-</w:t>
      </w:r>
      <w:r w:rsidRPr="00287C3A">
        <w:rPr>
          <w:i/>
        </w:rPr>
        <w:t>„e“</w:t>
      </w:r>
      <w:r>
        <w:rPr>
          <w:i/>
        </w:rPr>
        <w:t xml:space="preserve">-Status. </w:t>
      </w:r>
      <w:r w:rsidRPr="00287C3A">
        <w:rPr>
          <w:i/>
        </w:rPr>
        <w:t xml:space="preserve">Bludenz und </w:t>
      </w:r>
      <w:proofErr w:type="spellStart"/>
      <w:r w:rsidRPr="00287C3A">
        <w:rPr>
          <w:i/>
        </w:rPr>
        <w:t>Dalaas</w:t>
      </w:r>
      <w:proofErr w:type="spellEnd"/>
      <w:r w:rsidRPr="00287C3A">
        <w:rPr>
          <w:i/>
        </w:rPr>
        <w:t xml:space="preserve"> </w:t>
      </w:r>
      <w:r>
        <w:rPr>
          <w:i/>
        </w:rPr>
        <w:t xml:space="preserve">holten beim Erstaudit </w:t>
      </w:r>
      <w:r w:rsidRPr="00287C3A">
        <w:rPr>
          <w:i/>
        </w:rPr>
        <w:t>3 „e“</w:t>
      </w:r>
      <w:r>
        <w:rPr>
          <w:i/>
        </w:rPr>
        <w:t>,</w:t>
      </w:r>
      <w:r w:rsidRPr="00287C3A">
        <w:rPr>
          <w:i/>
        </w:rPr>
        <w:t xml:space="preserve"> Brand 2 „e“</w:t>
      </w:r>
      <w:r>
        <w:rPr>
          <w:i/>
        </w:rPr>
        <w:t>. P</w:t>
      </w:r>
      <w:r w:rsidRPr="00287C3A">
        <w:rPr>
          <w:i/>
        </w:rPr>
        <w:t xml:space="preserve">andemiebedingt fand dieses Jahr kein Event statt. </w:t>
      </w:r>
    </w:p>
    <w:p w14:paraId="22246F1C" w14:textId="77777777" w:rsidR="004D5E25" w:rsidRDefault="004D5E25" w:rsidP="004D5E25">
      <w:pPr>
        <w:pStyle w:val="Pzwei"/>
      </w:pPr>
    </w:p>
    <w:p w14:paraId="6AC73AD1" w14:textId="7B2E8B78" w:rsidR="004D5E25" w:rsidRDefault="004D5E25" w:rsidP="004D5E25">
      <w:pPr>
        <w:pStyle w:val="Pzwei"/>
      </w:pPr>
      <w:r>
        <w:t xml:space="preserve">Seit über 20 Jahren setzen sich die Vorarlberger Gemeinden für den Klimaschutz ein. Als 48. </w:t>
      </w:r>
      <w:r>
        <w:rPr>
          <w:iCs/>
        </w:rPr>
        <w:t xml:space="preserve">Mitglied </w:t>
      </w:r>
      <w:r>
        <w:t xml:space="preserve">ist heuer </w:t>
      </w:r>
      <w:proofErr w:type="spellStart"/>
      <w:r>
        <w:t>Andelsbuch</w:t>
      </w:r>
      <w:proofErr w:type="spellEnd"/>
      <w:r>
        <w:t xml:space="preserve"> </w:t>
      </w:r>
      <w:r>
        <w:rPr>
          <w:iCs/>
        </w:rPr>
        <w:t xml:space="preserve">dem e5-Programm beigetreten. Damit leben 85 Prozent der Vorarlberger Bevölkerung in e5-Gemeinden. </w:t>
      </w:r>
      <w:r>
        <w:t>Alle vier Jahre müssen sie sich einem Audit stellen. Bis zu 5 „e“ kann eine Gemeinde erreichen. Aufgrund der COVID-19-Pandemie entfällt der e5-Event zum ersten Mal. Die zehn auditierten Gemeinden erh</w:t>
      </w:r>
      <w:r w:rsidR="00277709">
        <w:t>ie</w:t>
      </w:r>
      <w:r>
        <w:t xml:space="preserve">lten </w:t>
      </w:r>
      <w:r w:rsidRPr="00997712">
        <w:t xml:space="preserve">ihre Auszeichnungen im November bei persönlichen Besuchen </w:t>
      </w:r>
      <w:r>
        <w:t>von ihren</w:t>
      </w:r>
      <w:r w:rsidRPr="00997712">
        <w:t xml:space="preserve"> e5-</w:t>
      </w:r>
      <w:r w:rsidR="00F51E0A">
        <w:t>Gemeindebetreuerinnen und -betreuern</w:t>
      </w:r>
      <w:r w:rsidR="00277709">
        <w:t>.</w:t>
      </w:r>
    </w:p>
    <w:p w14:paraId="78286639" w14:textId="77777777" w:rsidR="00DA7E49" w:rsidRDefault="00DA7E49" w:rsidP="004D5E25">
      <w:pPr>
        <w:pStyle w:val="Pzwei"/>
      </w:pPr>
    </w:p>
    <w:p w14:paraId="40E6941D" w14:textId="77777777" w:rsidR="004D5E25" w:rsidRDefault="004D5E25" w:rsidP="004D5E25">
      <w:pPr>
        <w:pStyle w:val="Pzwei"/>
      </w:pPr>
      <w:r>
        <w:t xml:space="preserve">„Trotz Pandemie konnte der Auditprozess mit tatkräftiger Unterstützung der Gemeinden fristgerecht umgesetzt werden“, freut sich e5-Programmleiter Gregor Sellner und ergänzt: „Durch </w:t>
      </w:r>
      <w:r w:rsidRPr="00FB7D08">
        <w:t>C</w:t>
      </w:r>
      <w:r>
        <w:t>OVID-1</w:t>
      </w:r>
      <w:r w:rsidRPr="00FB7D08">
        <w:t>9</w:t>
      </w:r>
      <w:r>
        <w:t xml:space="preserve"> müssen die Gemeinden erhebliche Einnahmenrückgänge hinnehmen. Effektiver Klimaschutz lässt sich jedoch auch </w:t>
      </w:r>
      <w:proofErr w:type="gramStart"/>
      <w:r>
        <w:t>mit k</w:t>
      </w:r>
      <w:r w:rsidRPr="00FB7D08">
        <w:t xml:space="preserve">leiner </w:t>
      </w:r>
      <w:r>
        <w:t xml:space="preserve">dimensionierten </w:t>
      </w:r>
      <w:r w:rsidRPr="00FB7D08">
        <w:t>Projekte</w:t>
      </w:r>
      <w:r>
        <w:t>n</w:t>
      </w:r>
      <w:proofErr w:type="gramEnd"/>
      <w:r>
        <w:t xml:space="preserve"> und </w:t>
      </w:r>
      <w:r w:rsidRPr="00FB7D08">
        <w:t>Bewusstseinsbildung</w:t>
      </w:r>
      <w:r>
        <w:t xml:space="preserve"> der Bevölkerung realisieren. Es ist ratsam, diese gut über die zahlreichen Förderungen zu informieren, etwa für den Photovoltaik-Ausbau oder die Initiative ‚Raus aus Öl‘.“</w:t>
      </w:r>
    </w:p>
    <w:p w14:paraId="68CCFCAA" w14:textId="77777777" w:rsidR="004D5E25" w:rsidRDefault="004D5E25" w:rsidP="004D5E25">
      <w:pPr>
        <w:pStyle w:val="Pzwei"/>
      </w:pPr>
    </w:p>
    <w:p w14:paraId="1B0607B0" w14:textId="77777777" w:rsidR="004D5E25" w:rsidRDefault="004D5E25" w:rsidP="004D5E25">
      <w:pPr>
        <w:pStyle w:val="Pzwei"/>
      </w:pPr>
      <w:r>
        <w:t>In der zweiten Umsetzungsperiode</w:t>
      </w:r>
      <w:r w:rsidRPr="00864D30">
        <w:t xml:space="preserve"> </w:t>
      </w:r>
      <w:r>
        <w:t>der</w:t>
      </w:r>
      <w:r w:rsidRPr="00864D30">
        <w:t xml:space="preserve"> Energieautonomie </w:t>
      </w:r>
      <w:r>
        <w:t xml:space="preserve">Vorarlberg 2050 </w:t>
      </w:r>
      <w:r w:rsidRPr="00864D30">
        <w:t>sollen die e5-</w:t>
      </w:r>
      <w:r>
        <w:t xml:space="preserve">Gemeinden </w:t>
      </w:r>
      <w:r w:rsidRPr="00864D30">
        <w:t>noch intensiver Einfluss nehmen, informiert Umweltlandesrat Johannes Rauch: „Die Ziele und Maßnahmen definieren wir nun gemeinsam mit den e5-Teams. Sie sollen ihren Erfahrungsschatz noch stärker einbringen können. Was sie bisher geschafft haben, ist beeindruckend und vorbildhaft für die weitere Entwicklung“, bedankt sich Rauch bei allen e5-Aktiven.</w:t>
      </w:r>
    </w:p>
    <w:p w14:paraId="51619D10" w14:textId="77777777" w:rsidR="004D5E25" w:rsidRPr="007C3402" w:rsidRDefault="004D5E25" w:rsidP="004D5E25">
      <w:pPr>
        <w:pStyle w:val="Pzwei"/>
      </w:pPr>
    </w:p>
    <w:p w14:paraId="28D35C82" w14:textId="77777777" w:rsidR="004D5E25" w:rsidRDefault="004D5E25" w:rsidP="004D5E25">
      <w:pPr>
        <w:suppressAutoHyphens w:val="0"/>
        <w:autoSpaceDE w:val="0"/>
        <w:autoSpaceDN w:val="0"/>
        <w:adjustRightInd w:val="0"/>
        <w:spacing w:line="289" w:lineRule="atLeast"/>
      </w:pPr>
      <w:r>
        <w:t xml:space="preserve">Dieses Jahr können </w:t>
      </w:r>
      <w:r w:rsidRPr="007C3402">
        <w:t xml:space="preserve">sich zehn Gemeinden über insgesamt 31 „e“ freuen: </w:t>
      </w:r>
      <w:r w:rsidRPr="005C3FC3">
        <w:t xml:space="preserve">Bludenz und </w:t>
      </w:r>
      <w:proofErr w:type="spellStart"/>
      <w:r w:rsidRPr="005C3FC3">
        <w:t>Dalaas</w:t>
      </w:r>
      <w:proofErr w:type="spellEnd"/>
      <w:r w:rsidRPr="005C3FC3">
        <w:t xml:space="preserve"> </w:t>
      </w:r>
      <w:r>
        <w:t>holen bei der ersten Auditierung auf Anhieb 3 „e“, Brand 2 „e“.</w:t>
      </w:r>
      <w:r w:rsidRPr="004F6B98">
        <w:t xml:space="preserve"> </w:t>
      </w:r>
      <w:r w:rsidRPr="005C3FC3">
        <w:t xml:space="preserve">Nenzing </w:t>
      </w:r>
      <w:r>
        <w:t xml:space="preserve">hält </w:t>
      </w:r>
      <w:r w:rsidRPr="005C3FC3">
        <w:t xml:space="preserve">4 </w:t>
      </w:r>
      <w:r>
        <w:t xml:space="preserve">„e“, wie auch Hard. </w:t>
      </w:r>
      <w:proofErr w:type="spellStart"/>
      <w:r>
        <w:t>Gaißau</w:t>
      </w:r>
      <w:proofErr w:type="spellEnd"/>
      <w:r>
        <w:t xml:space="preserve"> gelang der Sprung von 2 auf </w:t>
      </w:r>
      <w:r w:rsidRPr="005C3FC3">
        <w:t xml:space="preserve">3 </w:t>
      </w:r>
      <w:r>
        <w:t xml:space="preserve">„e“, Sulzberg von 3 auf 4 „e“. </w:t>
      </w:r>
      <w:r w:rsidRPr="005C3FC3">
        <w:t xml:space="preserve">Koblach und Schwarzach </w:t>
      </w:r>
      <w:r>
        <w:t>bleiben bei 3 „e“, Lochau 2 „e“.</w:t>
      </w:r>
      <w:r w:rsidRPr="005C3FC3">
        <w:t xml:space="preserve"> </w:t>
      </w:r>
    </w:p>
    <w:p w14:paraId="4F90BE11" w14:textId="77777777" w:rsidR="004D5E25" w:rsidRPr="00173038" w:rsidRDefault="004D5E25" w:rsidP="004D5E25">
      <w:pPr>
        <w:pStyle w:val="Pzwei"/>
      </w:pPr>
    </w:p>
    <w:p w14:paraId="7ED88004" w14:textId="77777777" w:rsidR="004D5E25" w:rsidRPr="0028675A" w:rsidRDefault="004D5E25" w:rsidP="004D5E25">
      <w:pPr>
        <w:pStyle w:val="Pzwei"/>
        <w:rPr>
          <w:b/>
        </w:rPr>
      </w:pPr>
      <w:r w:rsidRPr="0028675A">
        <w:rPr>
          <w:b/>
        </w:rPr>
        <w:t>Drei Erstauditierte im Bezirk Bludenz</w:t>
      </w:r>
    </w:p>
    <w:p w14:paraId="63ECC0E5" w14:textId="598B8F24" w:rsidR="004D5E25" w:rsidRPr="0028675A" w:rsidRDefault="004D5E25" w:rsidP="004D5E25">
      <w:pPr>
        <w:pStyle w:val="Pzwei"/>
      </w:pPr>
      <w:r w:rsidRPr="0028675A">
        <w:t xml:space="preserve">Die Alpenstadt Bludenz ist seit 2017 im e5-Programm und startet mit 3 </w:t>
      </w:r>
      <w:r>
        <w:t>„e“</w:t>
      </w:r>
      <w:r w:rsidRPr="0028675A">
        <w:t>.</w:t>
      </w:r>
      <w:r>
        <w:t xml:space="preserve"> Mit dem e5</w:t>
      </w:r>
      <w:r w:rsidR="00891447">
        <w:t>-</w:t>
      </w:r>
      <w:r>
        <w:t>Energiekompass wurden die Weichen der künftigen energiepolitischen Arbeit gestellt. Darüber hinaus liefern Photovoltaikanlagen eigenen Strom</w:t>
      </w:r>
      <w:r w:rsidR="00891447">
        <w:t>, etwa</w:t>
      </w:r>
      <w:r>
        <w:t xml:space="preserve"> zur Versorgung der neuen Elektrogeräte </w:t>
      </w:r>
      <w:r>
        <w:lastRenderedPageBreak/>
        <w:t xml:space="preserve">des Bauhofs. Vorzeigeprojekt ist </w:t>
      </w:r>
      <w:r w:rsidR="00891447">
        <w:t>auch</w:t>
      </w:r>
      <w:r>
        <w:t xml:space="preserve"> die Nutzung der Abwärme der Firma Getzner</w:t>
      </w:r>
      <w:r w:rsidR="00891447">
        <w:t>: M</w:t>
      </w:r>
      <w:r>
        <w:t>ehrer</w:t>
      </w:r>
      <w:r w:rsidR="00891447">
        <w:t>e</w:t>
      </w:r>
      <w:r>
        <w:t xml:space="preserve"> städtische Gebäude, das Val </w:t>
      </w:r>
      <w:proofErr w:type="spellStart"/>
      <w:r>
        <w:t>Blu</w:t>
      </w:r>
      <w:proofErr w:type="spellEnd"/>
      <w:r>
        <w:t xml:space="preserve"> sowie private Objekte </w:t>
      </w:r>
      <w:r w:rsidR="00891447">
        <w:t xml:space="preserve">werden damit </w:t>
      </w:r>
      <w:r>
        <w:t>versorgt</w:t>
      </w:r>
      <w:r w:rsidR="00891447">
        <w:t xml:space="preserve">. </w:t>
      </w:r>
      <w:r>
        <w:t xml:space="preserve">Durch ein Umweltprogramm schafft Bludenz Grünräume, sorgt für mehr Biodiversität und bietet Bürgerinnen </w:t>
      </w:r>
      <w:r w:rsidR="00891447">
        <w:t xml:space="preserve">und Bürgern </w:t>
      </w:r>
      <w:r>
        <w:t>Weiterbildungsangebote und Workshops zu diesen Themen an.</w:t>
      </w:r>
    </w:p>
    <w:p w14:paraId="0CB0FDB1" w14:textId="77777777" w:rsidR="004D5E25" w:rsidRPr="0028675A" w:rsidRDefault="004D5E25" w:rsidP="004D5E25">
      <w:pPr>
        <w:pStyle w:val="Pzwei"/>
      </w:pPr>
    </w:p>
    <w:p w14:paraId="7D01235F" w14:textId="59FF2E9E" w:rsidR="004D5E25" w:rsidRPr="0028675A" w:rsidRDefault="004D5E25" w:rsidP="004D5E25">
      <w:pPr>
        <w:pStyle w:val="Pzwei"/>
      </w:pPr>
      <w:r w:rsidRPr="0028675A">
        <w:t xml:space="preserve">Ebenfalls 3 </w:t>
      </w:r>
      <w:r>
        <w:t xml:space="preserve">„e“ </w:t>
      </w:r>
      <w:r w:rsidRPr="0028675A">
        <w:t xml:space="preserve">zum Start verdiente sich </w:t>
      </w:r>
      <w:proofErr w:type="spellStart"/>
      <w:r w:rsidRPr="0028675A">
        <w:t>Dalaas</w:t>
      </w:r>
      <w:proofErr w:type="spellEnd"/>
      <w:r w:rsidRPr="0028675A">
        <w:t xml:space="preserve">. </w:t>
      </w:r>
      <w:r>
        <w:t xml:space="preserve">Viel Lob von der Kommission gab es für die rege Bürgerbeteiligung bei verschiedenen Projekten. Mit dem Grundsatzbeschluss für nachhaltige Bauweise hat die Gemeinde eine Basis geschaffen, um ihre Energieeffizienz weiter zu steigern.  Mit dem Gemeindezentrum wird dieser Beschluss nun erstmals in die Tat umgesetzt. Auch </w:t>
      </w:r>
      <w:r w:rsidRPr="0028675A">
        <w:t>E-Auto-Carsharing, Modernisierung der Straßenbeleuchtung</w:t>
      </w:r>
      <w:r>
        <w:t xml:space="preserve">, </w:t>
      </w:r>
      <w:r w:rsidRPr="0028675A">
        <w:t>PV-A</w:t>
      </w:r>
      <w:r>
        <w:t>usbau</w:t>
      </w:r>
      <w:r w:rsidRPr="0028675A">
        <w:t xml:space="preserve"> </w:t>
      </w:r>
      <w:r>
        <w:t>und die Reaktivierung alter Wege flossen</w:t>
      </w:r>
      <w:r w:rsidRPr="0028675A">
        <w:t xml:space="preserve"> </w:t>
      </w:r>
      <w:r>
        <w:t>positiv in die Bewertung ein</w:t>
      </w:r>
      <w:r w:rsidRPr="0028675A">
        <w:t>.</w:t>
      </w:r>
      <w:r>
        <w:t xml:space="preserve"> </w:t>
      </w:r>
    </w:p>
    <w:p w14:paraId="2FB6FCEE" w14:textId="77777777" w:rsidR="004D5E25" w:rsidRPr="0028675A" w:rsidRDefault="004D5E25" w:rsidP="004D5E25">
      <w:pPr>
        <w:pStyle w:val="Pzwei"/>
      </w:pPr>
    </w:p>
    <w:p w14:paraId="1A121566" w14:textId="77777777" w:rsidR="004D5E25" w:rsidRDefault="004D5E25" w:rsidP="004D5E25">
      <w:pPr>
        <w:pStyle w:val="Pzwei"/>
      </w:pPr>
      <w:r w:rsidRPr="0028675A">
        <w:t xml:space="preserve">Brand ist, wie </w:t>
      </w:r>
      <w:proofErr w:type="spellStart"/>
      <w:r w:rsidRPr="0028675A">
        <w:t>Dalaas</w:t>
      </w:r>
      <w:proofErr w:type="spellEnd"/>
      <w:r w:rsidRPr="0028675A">
        <w:t>, seit 2016 im Programm</w:t>
      </w:r>
      <w:r w:rsidR="00CD6512">
        <w:t>.</w:t>
      </w:r>
      <w:r w:rsidRPr="0028675A">
        <w:t xml:space="preserve"> </w:t>
      </w:r>
      <w:r>
        <w:t>Mit Wasserkraft gewinnt die 700-Einwohner-Gemeinde Energie für 1200 Haushalte, den Überschuss speist sie ins öffentliche Netz ein. Auch in den kommenden Jahren soll die Wasserkraft weiterhin ausgebaut werden. Gepunktet hat Brand auch mit ö</w:t>
      </w:r>
      <w:r w:rsidRPr="0028675A">
        <w:t>kologische</w:t>
      </w:r>
      <w:r>
        <w:t>r</w:t>
      </w:r>
      <w:r w:rsidRPr="0028675A">
        <w:t xml:space="preserve"> </w:t>
      </w:r>
      <w:r>
        <w:t xml:space="preserve">und energieeffizienter </w:t>
      </w:r>
      <w:r w:rsidRPr="0028675A">
        <w:t>Bau</w:t>
      </w:r>
      <w:r>
        <w:t>weise, etwa beim Volksschul- und Kindergartengebäude „</w:t>
      </w:r>
      <w:proofErr w:type="spellStart"/>
      <w:r>
        <w:t>Zemmako</w:t>
      </w:r>
      <w:proofErr w:type="spellEnd"/>
      <w:r>
        <w:t>“. D</w:t>
      </w:r>
      <w:r w:rsidRPr="0028675A">
        <w:t>ie Jüngsten</w:t>
      </w:r>
      <w:r>
        <w:t xml:space="preserve"> werden</w:t>
      </w:r>
      <w:r w:rsidRPr="0028675A">
        <w:t xml:space="preserve"> im Sonnenkindergarten oder in der „</w:t>
      </w:r>
      <w:proofErr w:type="spellStart"/>
      <w:r w:rsidRPr="0028675A">
        <w:t>energie.werkstatt</w:t>
      </w:r>
      <w:proofErr w:type="spellEnd"/>
      <w:r w:rsidRPr="0028675A">
        <w:t xml:space="preserve"> Schule“ auf eine nachhaltige Zukunft ein</w:t>
      </w:r>
      <w:r>
        <w:t>gestimmt</w:t>
      </w:r>
      <w:r w:rsidRPr="0028675A">
        <w:t>.</w:t>
      </w:r>
    </w:p>
    <w:p w14:paraId="42CBA2DA" w14:textId="77777777" w:rsidR="004D5E25" w:rsidRDefault="004D5E25" w:rsidP="004D5E25">
      <w:pPr>
        <w:pStyle w:val="Pzwei"/>
      </w:pPr>
    </w:p>
    <w:p w14:paraId="193352E6" w14:textId="77777777" w:rsidR="004D5E25" w:rsidRPr="00DE2ECD" w:rsidRDefault="004D5E25" w:rsidP="004D5E25">
      <w:pPr>
        <w:pStyle w:val="Pzwei"/>
        <w:rPr>
          <w:b/>
          <w:bCs/>
        </w:rPr>
      </w:pPr>
      <w:r w:rsidRPr="00DE2ECD">
        <w:rPr>
          <w:b/>
          <w:bCs/>
        </w:rPr>
        <w:t>Gelebte Bürgerbeteiligung in Nenzi</w:t>
      </w:r>
      <w:r>
        <w:rPr>
          <w:b/>
          <w:bCs/>
        </w:rPr>
        <w:t>n</w:t>
      </w:r>
      <w:r w:rsidRPr="00DE2ECD">
        <w:rPr>
          <w:b/>
          <w:bCs/>
        </w:rPr>
        <w:t>g</w:t>
      </w:r>
    </w:p>
    <w:p w14:paraId="610002E4" w14:textId="77777777" w:rsidR="004D5E25" w:rsidRPr="00173038" w:rsidRDefault="004D5E25" w:rsidP="004D5E25">
      <w:pPr>
        <w:pStyle w:val="Pzwei"/>
      </w:pPr>
      <w:r>
        <w:t xml:space="preserve">Mit </w:t>
      </w:r>
      <w:r w:rsidRPr="00173038">
        <w:t xml:space="preserve">Bürgerbeteiligung </w:t>
      </w:r>
      <w:r>
        <w:t xml:space="preserve">brachte Nenzing einige vorbildliche Projekte auf Schiene: </w:t>
      </w:r>
      <w:r w:rsidRPr="00173038">
        <w:t>„</w:t>
      </w:r>
      <w:proofErr w:type="spellStart"/>
      <w:r w:rsidRPr="00173038">
        <w:t>Sunnastrom</w:t>
      </w:r>
      <w:proofErr w:type="spellEnd"/>
      <w:r w:rsidRPr="00173038">
        <w:t xml:space="preserve"> </w:t>
      </w:r>
      <w:proofErr w:type="spellStart"/>
      <w:r w:rsidRPr="00173038">
        <w:t>z’Nenzing</w:t>
      </w:r>
      <w:proofErr w:type="spellEnd"/>
      <w:r w:rsidRPr="00173038">
        <w:t xml:space="preserve">“ </w:t>
      </w:r>
      <w:r>
        <w:t xml:space="preserve">umfasst </w:t>
      </w:r>
      <w:r w:rsidRPr="00173038">
        <w:t xml:space="preserve">bereits </w:t>
      </w:r>
      <w:r>
        <w:t>drei</w:t>
      </w:r>
      <w:r w:rsidRPr="00173038">
        <w:t xml:space="preserve"> PV-Anlage</w:t>
      </w:r>
      <w:r>
        <w:t xml:space="preserve">n, die insgesamt </w:t>
      </w:r>
      <w:r w:rsidRPr="00173038">
        <w:t>161.000 Kilowattstunden pro Jahr</w:t>
      </w:r>
      <w:r>
        <w:t xml:space="preserve"> liefern. Gefragt war die Bürgerstimme auch bei der Erstellung des Energieleitbildes Nenzing 2030, das auf Sanierungen und Benutzerverhalten abzielt, sowie bei der nachhaltigen Dorfkernentwicklung. </w:t>
      </w:r>
      <w:r w:rsidRPr="00173038">
        <w:t xml:space="preserve">Unterm Strich macht das 4 </w:t>
      </w:r>
      <w:r>
        <w:t xml:space="preserve">„e“ </w:t>
      </w:r>
      <w:r w:rsidRPr="00173038">
        <w:t>für die Walgau-Gemeinde.</w:t>
      </w:r>
    </w:p>
    <w:p w14:paraId="587BCDA7" w14:textId="77777777" w:rsidR="004D5E25" w:rsidRDefault="004D5E25" w:rsidP="004D5E25">
      <w:pPr>
        <w:pStyle w:val="Pzwei"/>
      </w:pPr>
    </w:p>
    <w:p w14:paraId="208D5DEE" w14:textId="77777777" w:rsidR="004D5E25" w:rsidRDefault="004D5E25" w:rsidP="004D5E25">
      <w:pPr>
        <w:pStyle w:val="Pzwei"/>
        <w:rPr>
          <w:b/>
          <w:bCs/>
          <w:iCs/>
        </w:rPr>
      </w:pPr>
      <w:r>
        <w:rPr>
          <w:b/>
          <w:bCs/>
          <w:iCs/>
        </w:rPr>
        <w:t xml:space="preserve">Infos: </w:t>
      </w:r>
      <w:hyperlink r:id="rId6" w:history="1">
        <w:r w:rsidRPr="00DE5D8F">
          <w:rPr>
            <w:rStyle w:val="Hyperlink"/>
            <w:b/>
            <w:bCs/>
            <w:iCs/>
          </w:rPr>
          <w:t>www.energieinstitut.at</w:t>
        </w:r>
      </w:hyperlink>
      <w:r>
        <w:rPr>
          <w:b/>
          <w:bCs/>
          <w:iCs/>
        </w:rPr>
        <w:t xml:space="preserve"> </w:t>
      </w:r>
    </w:p>
    <w:p w14:paraId="6A593A44" w14:textId="77777777" w:rsidR="004D5E25" w:rsidRDefault="004D5E25" w:rsidP="004D5E25">
      <w:pPr>
        <w:pStyle w:val="Pzwei"/>
        <w:rPr>
          <w:b/>
          <w:bCs/>
          <w:iCs/>
        </w:rPr>
      </w:pPr>
    </w:p>
    <w:p w14:paraId="7C1D357D" w14:textId="77777777" w:rsidR="004D5E25" w:rsidRDefault="004D5E25" w:rsidP="004D5E25">
      <w:pPr>
        <w:rPr>
          <w:b/>
          <w:bCs/>
        </w:rPr>
      </w:pPr>
    </w:p>
    <w:p w14:paraId="079A071B" w14:textId="77777777" w:rsidR="004D5E25" w:rsidRDefault="004D5E25" w:rsidP="004D5E25">
      <w:pPr>
        <w:rPr>
          <w:b/>
          <w:bCs/>
        </w:rPr>
      </w:pPr>
    </w:p>
    <w:p w14:paraId="3B0F52AD" w14:textId="77777777" w:rsidR="004D5E25" w:rsidRDefault="004D5E25" w:rsidP="004D5E25">
      <w:pPr>
        <w:rPr>
          <w:b/>
          <w:bCs/>
        </w:rPr>
      </w:pPr>
      <w:proofErr w:type="spellStart"/>
      <w:r>
        <w:rPr>
          <w:b/>
          <w:bCs/>
        </w:rPr>
        <w:t>Factbox</w:t>
      </w:r>
      <w:proofErr w:type="spellEnd"/>
      <w:r>
        <w:rPr>
          <w:b/>
          <w:bCs/>
        </w:rPr>
        <w:t>: e5-Zertifizierung</w:t>
      </w:r>
      <w:r>
        <w:rPr>
          <w:rFonts w:eastAsia="Arial"/>
          <w:b/>
          <w:bCs/>
        </w:rPr>
        <w:t xml:space="preserve"> </w:t>
      </w:r>
      <w:r>
        <w:rPr>
          <w:b/>
          <w:bCs/>
        </w:rPr>
        <w:t>2020</w:t>
      </w:r>
    </w:p>
    <w:p w14:paraId="55E395B5" w14:textId="77777777" w:rsidR="004D5E25" w:rsidRDefault="004D5E25" w:rsidP="004D5E2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308"/>
        <w:gridCol w:w="2308"/>
        <w:gridCol w:w="2134"/>
      </w:tblGrid>
      <w:tr w:rsidR="004D5E25" w:rsidRPr="00DD0ED3" w14:paraId="79ADAAAC" w14:textId="77777777" w:rsidTr="00D94CB8">
        <w:tc>
          <w:tcPr>
            <w:tcW w:w="2710" w:type="dxa"/>
            <w:shd w:val="clear" w:color="auto" w:fill="auto"/>
          </w:tcPr>
          <w:p w14:paraId="16F318F3" w14:textId="77777777" w:rsidR="004D5E25" w:rsidRPr="00DD0ED3" w:rsidRDefault="004D5E25" w:rsidP="00D94CB8">
            <w:pPr>
              <w:tabs>
                <w:tab w:val="left" w:pos="1995"/>
                <w:tab w:val="left" w:pos="3405"/>
              </w:tabs>
              <w:rPr>
                <w:b/>
                <w:bCs/>
              </w:rPr>
            </w:pPr>
            <w:r w:rsidRPr="00DD0ED3">
              <w:rPr>
                <w:b/>
                <w:bCs/>
              </w:rPr>
              <w:t>Gemeinde</w:t>
            </w:r>
          </w:p>
        </w:tc>
        <w:tc>
          <w:tcPr>
            <w:tcW w:w="2381" w:type="dxa"/>
            <w:shd w:val="clear" w:color="auto" w:fill="auto"/>
          </w:tcPr>
          <w:p w14:paraId="0710CDBD" w14:textId="77777777" w:rsidR="004D5E25" w:rsidRPr="00DD0ED3" w:rsidRDefault="004D5E25" w:rsidP="00D94CB8">
            <w:pPr>
              <w:tabs>
                <w:tab w:val="left" w:pos="1995"/>
                <w:tab w:val="left" w:pos="3405"/>
              </w:tabs>
              <w:jc w:val="center"/>
              <w:rPr>
                <w:b/>
                <w:bCs/>
              </w:rPr>
            </w:pPr>
            <w:r w:rsidRPr="00DD0ED3">
              <w:rPr>
                <w:b/>
                <w:bCs/>
              </w:rPr>
              <w:t>e5-Status bisher</w:t>
            </w:r>
          </w:p>
        </w:tc>
        <w:tc>
          <w:tcPr>
            <w:tcW w:w="2381" w:type="dxa"/>
            <w:shd w:val="clear" w:color="auto" w:fill="auto"/>
          </w:tcPr>
          <w:p w14:paraId="2AB18CA0" w14:textId="77777777" w:rsidR="004D5E25" w:rsidRPr="00DD0ED3" w:rsidRDefault="004D5E25" w:rsidP="00D94CB8">
            <w:pPr>
              <w:tabs>
                <w:tab w:val="left" w:pos="1995"/>
                <w:tab w:val="left" w:pos="3405"/>
              </w:tabs>
              <w:jc w:val="center"/>
              <w:rPr>
                <w:b/>
                <w:bCs/>
              </w:rPr>
            </w:pPr>
            <w:r w:rsidRPr="00DD0ED3">
              <w:rPr>
                <w:b/>
                <w:bCs/>
              </w:rPr>
              <w:t>e5-Status neu</w:t>
            </w:r>
          </w:p>
        </w:tc>
        <w:tc>
          <w:tcPr>
            <w:tcW w:w="2150" w:type="dxa"/>
          </w:tcPr>
          <w:p w14:paraId="786C9C1B" w14:textId="77777777" w:rsidR="004D5E25" w:rsidRPr="00DD0ED3" w:rsidRDefault="004D5E25" w:rsidP="00D94CB8">
            <w:pPr>
              <w:tabs>
                <w:tab w:val="left" w:pos="1995"/>
                <w:tab w:val="left" w:pos="3405"/>
              </w:tabs>
              <w:jc w:val="center"/>
              <w:rPr>
                <w:b/>
                <w:bCs/>
              </w:rPr>
            </w:pPr>
            <w:r>
              <w:rPr>
                <w:b/>
                <w:bCs/>
              </w:rPr>
              <w:t>Prozentpunkte*</w:t>
            </w:r>
          </w:p>
        </w:tc>
      </w:tr>
      <w:tr w:rsidR="004D5E25" w:rsidRPr="00DD0ED3" w14:paraId="1E2E2602" w14:textId="77777777" w:rsidTr="00D94CB8">
        <w:tc>
          <w:tcPr>
            <w:tcW w:w="2710" w:type="dxa"/>
            <w:shd w:val="clear" w:color="auto" w:fill="auto"/>
          </w:tcPr>
          <w:p w14:paraId="167973DC" w14:textId="77777777" w:rsidR="004D5E25" w:rsidRPr="00DD0ED3" w:rsidRDefault="004D5E25" w:rsidP="00D94CB8">
            <w:pPr>
              <w:tabs>
                <w:tab w:val="left" w:pos="1995"/>
                <w:tab w:val="left" w:pos="3405"/>
              </w:tabs>
              <w:rPr>
                <w:bCs/>
              </w:rPr>
            </w:pPr>
            <w:r>
              <w:rPr>
                <w:bCs/>
              </w:rPr>
              <w:t>Lochau</w:t>
            </w:r>
          </w:p>
        </w:tc>
        <w:tc>
          <w:tcPr>
            <w:tcW w:w="2381" w:type="dxa"/>
            <w:shd w:val="clear" w:color="auto" w:fill="auto"/>
          </w:tcPr>
          <w:p w14:paraId="4C5E7DA3" w14:textId="77777777" w:rsidR="004D5E25" w:rsidRPr="00DD0ED3" w:rsidRDefault="004D5E25" w:rsidP="00D94CB8">
            <w:pPr>
              <w:tabs>
                <w:tab w:val="left" w:pos="1995"/>
                <w:tab w:val="left" w:pos="3405"/>
              </w:tabs>
              <w:jc w:val="center"/>
              <w:rPr>
                <w:bCs/>
              </w:rPr>
            </w:pPr>
            <w:proofErr w:type="spellStart"/>
            <w:r>
              <w:rPr>
                <w:bCs/>
              </w:rPr>
              <w:t>ee</w:t>
            </w:r>
            <w:proofErr w:type="spellEnd"/>
          </w:p>
        </w:tc>
        <w:tc>
          <w:tcPr>
            <w:tcW w:w="2381" w:type="dxa"/>
            <w:shd w:val="clear" w:color="auto" w:fill="auto"/>
          </w:tcPr>
          <w:p w14:paraId="6006B153" w14:textId="77777777" w:rsidR="004D5E25" w:rsidRPr="00DD0ED3" w:rsidRDefault="004D5E25" w:rsidP="00D94CB8">
            <w:pPr>
              <w:tabs>
                <w:tab w:val="left" w:pos="1995"/>
                <w:tab w:val="left" w:pos="3405"/>
              </w:tabs>
              <w:jc w:val="center"/>
              <w:rPr>
                <w:bCs/>
              </w:rPr>
            </w:pPr>
            <w:proofErr w:type="spellStart"/>
            <w:r>
              <w:rPr>
                <w:bCs/>
              </w:rPr>
              <w:t>ee</w:t>
            </w:r>
            <w:proofErr w:type="spellEnd"/>
          </w:p>
        </w:tc>
        <w:tc>
          <w:tcPr>
            <w:tcW w:w="2150" w:type="dxa"/>
          </w:tcPr>
          <w:p w14:paraId="7BCDB88E" w14:textId="77777777" w:rsidR="004D5E25" w:rsidRPr="004C525D" w:rsidRDefault="004D5E25" w:rsidP="00D94CB8">
            <w:pPr>
              <w:tabs>
                <w:tab w:val="left" w:pos="1995"/>
                <w:tab w:val="left" w:pos="3405"/>
              </w:tabs>
              <w:jc w:val="center"/>
              <w:rPr>
                <w:bCs/>
              </w:rPr>
            </w:pPr>
            <w:r>
              <w:rPr>
                <w:bCs/>
              </w:rPr>
              <w:t>41</w:t>
            </w:r>
          </w:p>
        </w:tc>
      </w:tr>
      <w:tr w:rsidR="004D5E25" w:rsidRPr="00DD0ED3" w14:paraId="75A9FC6B" w14:textId="77777777" w:rsidTr="00D94CB8">
        <w:tc>
          <w:tcPr>
            <w:tcW w:w="2710" w:type="dxa"/>
            <w:shd w:val="clear" w:color="auto" w:fill="auto"/>
          </w:tcPr>
          <w:p w14:paraId="6B74EF78" w14:textId="77777777" w:rsidR="004D5E25" w:rsidRPr="00DD0ED3" w:rsidRDefault="004D5E25" w:rsidP="00D94CB8">
            <w:pPr>
              <w:tabs>
                <w:tab w:val="left" w:pos="1995"/>
                <w:tab w:val="left" w:pos="3405"/>
              </w:tabs>
              <w:rPr>
                <w:bCs/>
              </w:rPr>
            </w:pPr>
            <w:r>
              <w:rPr>
                <w:bCs/>
              </w:rPr>
              <w:t>Brand</w:t>
            </w:r>
          </w:p>
        </w:tc>
        <w:tc>
          <w:tcPr>
            <w:tcW w:w="2381" w:type="dxa"/>
            <w:shd w:val="clear" w:color="auto" w:fill="auto"/>
          </w:tcPr>
          <w:p w14:paraId="0013B925" w14:textId="77777777" w:rsidR="004D5E25" w:rsidRPr="00DD0ED3" w:rsidRDefault="004D5E25" w:rsidP="00D94CB8">
            <w:pPr>
              <w:tabs>
                <w:tab w:val="left" w:pos="1995"/>
                <w:tab w:val="left" w:pos="3405"/>
              </w:tabs>
              <w:jc w:val="center"/>
              <w:rPr>
                <w:bCs/>
              </w:rPr>
            </w:pPr>
            <w:r>
              <w:rPr>
                <w:bCs/>
              </w:rPr>
              <w:t>-</w:t>
            </w:r>
          </w:p>
        </w:tc>
        <w:tc>
          <w:tcPr>
            <w:tcW w:w="2381" w:type="dxa"/>
            <w:shd w:val="clear" w:color="auto" w:fill="auto"/>
          </w:tcPr>
          <w:p w14:paraId="0FB27F4F" w14:textId="77777777" w:rsidR="004D5E25" w:rsidRPr="00DD0ED3" w:rsidRDefault="004D5E25" w:rsidP="00D94CB8">
            <w:pPr>
              <w:tabs>
                <w:tab w:val="left" w:pos="1995"/>
                <w:tab w:val="left" w:pos="3405"/>
              </w:tabs>
              <w:jc w:val="center"/>
              <w:rPr>
                <w:bCs/>
              </w:rPr>
            </w:pPr>
            <w:proofErr w:type="spellStart"/>
            <w:r>
              <w:rPr>
                <w:bCs/>
              </w:rPr>
              <w:t>ee</w:t>
            </w:r>
            <w:proofErr w:type="spellEnd"/>
          </w:p>
        </w:tc>
        <w:tc>
          <w:tcPr>
            <w:tcW w:w="2150" w:type="dxa"/>
          </w:tcPr>
          <w:p w14:paraId="4DCABC63" w14:textId="77777777" w:rsidR="004D5E25" w:rsidRPr="004C525D" w:rsidRDefault="004D5E25" w:rsidP="00D94CB8">
            <w:pPr>
              <w:tabs>
                <w:tab w:val="left" w:pos="1995"/>
                <w:tab w:val="left" w:pos="3405"/>
              </w:tabs>
              <w:jc w:val="center"/>
              <w:rPr>
                <w:bCs/>
              </w:rPr>
            </w:pPr>
            <w:r>
              <w:rPr>
                <w:bCs/>
              </w:rPr>
              <w:t>46</w:t>
            </w:r>
          </w:p>
        </w:tc>
      </w:tr>
      <w:tr w:rsidR="004D5E25" w:rsidRPr="00DD0ED3" w14:paraId="6B991D0D" w14:textId="77777777" w:rsidTr="00D94CB8">
        <w:tc>
          <w:tcPr>
            <w:tcW w:w="2710" w:type="dxa"/>
            <w:shd w:val="clear" w:color="auto" w:fill="auto"/>
          </w:tcPr>
          <w:p w14:paraId="1545966D" w14:textId="77777777" w:rsidR="004D5E25" w:rsidRPr="00DD0ED3" w:rsidRDefault="004D5E25" w:rsidP="00D94CB8">
            <w:pPr>
              <w:tabs>
                <w:tab w:val="left" w:pos="1995"/>
                <w:tab w:val="left" w:pos="3405"/>
              </w:tabs>
              <w:rPr>
                <w:bCs/>
              </w:rPr>
            </w:pPr>
            <w:r>
              <w:rPr>
                <w:bCs/>
              </w:rPr>
              <w:t>Bludenz</w:t>
            </w:r>
          </w:p>
        </w:tc>
        <w:tc>
          <w:tcPr>
            <w:tcW w:w="2381" w:type="dxa"/>
            <w:shd w:val="clear" w:color="auto" w:fill="auto"/>
          </w:tcPr>
          <w:p w14:paraId="29A88953" w14:textId="77777777" w:rsidR="004D5E25" w:rsidRPr="00DD0ED3" w:rsidRDefault="004D5E25" w:rsidP="00D94CB8">
            <w:pPr>
              <w:tabs>
                <w:tab w:val="left" w:pos="1995"/>
                <w:tab w:val="left" w:pos="3405"/>
              </w:tabs>
              <w:jc w:val="center"/>
              <w:rPr>
                <w:bCs/>
              </w:rPr>
            </w:pPr>
            <w:r>
              <w:rPr>
                <w:bCs/>
              </w:rPr>
              <w:t>-</w:t>
            </w:r>
          </w:p>
        </w:tc>
        <w:tc>
          <w:tcPr>
            <w:tcW w:w="2381" w:type="dxa"/>
            <w:shd w:val="clear" w:color="auto" w:fill="auto"/>
          </w:tcPr>
          <w:p w14:paraId="41A8F1B2" w14:textId="77777777" w:rsidR="004D5E25" w:rsidRPr="00DD0ED3" w:rsidRDefault="004D5E25" w:rsidP="00D94CB8">
            <w:pPr>
              <w:tabs>
                <w:tab w:val="left" w:pos="1995"/>
                <w:tab w:val="left" w:pos="3405"/>
              </w:tabs>
              <w:jc w:val="center"/>
              <w:rPr>
                <w:bCs/>
              </w:rPr>
            </w:pPr>
            <w:proofErr w:type="spellStart"/>
            <w:r>
              <w:rPr>
                <w:bCs/>
              </w:rPr>
              <w:t>eee</w:t>
            </w:r>
            <w:proofErr w:type="spellEnd"/>
          </w:p>
        </w:tc>
        <w:tc>
          <w:tcPr>
            <w:tcW w:w="2150" w:type="dxa"/>
          </w:tcPr>
          <w:p w14:paraId="094D0A84" w14:textId="77777777" w:rsidR="004D5E25" w:rsidRPr="004C525D" w:rsidRDefault="004D5E25" w:rsidP="00D94CB8">
            <w:pPr>
              <w:tabs>
                <w:tab w:val="left" w:pos="1995"/>
                <w:tab w:val="left" w:pos="3405"/>
              </w:tabs>
              <w:jc w:val="center"/>
              <w:rPr>
                <w:bCs/>
              </w:rPr>
            </w:pPr>
            <w:r>
              <w:rPr>
                <w:bCs/>
              </w:rPr>
              <w:t>52</w:t>
            </w:r>
          </w:p>
        </w:tc>
      </w:tr>
      <w:tr w:rsidR="004D5E25" w:rsidRPr="00DD0ED3" w14:paraId="62106766" w14:textId="77777777" w:rsidTr="00D94CB8">
        <w:tc>
          <w:tcPr>
            <w:tcW w:w="2710" w:type="dxa"/>
            <w:shd w:val="clear" w:color="auto" w:fill="auto"/>
          </w:tcPr>
          <w:p w14:paraId="6BFC7747" w14:textId="77777777" w:rsidR="004D5E25" w:rsidRPr="00DD0ED3" w:rsidRDefault="004D5E25" w:rsidP="00D94CB8">
            <w:pPr>
              <w:tabs>
                <w:tab w:val="left" w:pos="1995"/>
                <w:tab w:val="left" w:pos="3405"/>
              </w:tabs>
              <w:rPr>
                <w:bCs/>
              </w:rPr>
            </w:pPr>
            <w:proofErr w:type="spellStart"/>
            <w:r>
              <w:rPr>
                <w:bCs/>
              </w:rPr>
              <w:t>Dalaas</w:t>
            </w:r>
            <w:proofErr w:type="spellEnd"/>
          </w:p>
        </w:tc>
        <w:tc>
          <w:tcPr>
            <w:tcW w:w="2381" w:type="dxa"/>
            <w:shd w:val="clear" w:color="auto" w:fill="auto"/>
          </w:tcPr>
          <w:p w14:paraId="4F78CCDD" w14:textId="77777777" w:rsidR="004D5E25" w:rsidRPr="00DD0ED3" w:rsidRDefault="004D5E25" w:rsidP="00D94CB8">
            <w:pPr>
              <w:tabs>
                <w:tab w:val="left" w:pos="1995"/>
                <w:tab w:val="left" w:pos="3405"/>
              </w:tabs>
              <w:jc w:val="center"/>
              <w:rPr>
                <w:bCs/>
              </w:rPr>
            </w:pPr>
            <w:r>
              <w:rPr>
                <w:bCs/>
              </w:rPr>
              <w:t>-</w:t>
            </w:r>
          </w:p>
        </w:tc>
        <w:tc>
          <w:tcPr>
            <w:tcW w:w="2381" w:type="dxa"/>
            <w:shd w:val="clear" w:color="auto" w:fill="auto"/>
          </w:tcPr>
          <w:p w14:paraId="68580DAE" w14:textId="77777777" w:rsidR="004D5E25" w:rsidRPr="00DD0ED3" w:rsidRDefault="004D5E25" w:rsidP="00D94CB8">
            <w:pPr>
              <w:tabs>
                <w:tab w:val="left" w:pos="1995"/>
                <w:tab w:val="left" w:pos="3405"/>
              </w:tabs>
              <w:jc w:val="center"/>
              <w:rPr>
                <w:bCs/>
              </w:rPr>
            </w:pPr>
            <w:proofErr w:type="spellStart"/>
            <w:r>
              <w:rPr>
                <w:bCs/>
              </w:rPr>
              <w:t>eee</w:t>
            </w:r>
            <w:proofErr w:type="spellEnd"/>
          </w:p>
        </w:tc>
        <w:tc>
          <w:tcPr>
            <w:tcW w:w="2150" w:type="dxa"/>
          </w:tcPr>
          <w:p w14:paraId="1511AC6C" w14:textId="77777777" w:rsidR="004D5E25" w:rsidRPr="004C525D" w:rsidRDefault="004D5E25" w:rsidP="00D94CB8">
            <w:pPr>
              <w:tabs>
                <w:tab w:val="left" w:pos="1995"/>
                <w:tab w:val="left" w:pos="3405"/>
              </w:tabs>
              <w:jc w:val="center"/>
              <w:rPr>
                <w:bCs/>
              </w:rPr>
            </w:pPr>
            <w:r>
              <w:rPr>
                <w:bCs/>
              </w:rPr>
              <w:t>52</w:t>
            </w:r>
          </w:p>
        </w:tc>
      </w:tr>
      <w:tr w:rsidR="004D5E25" w:rsidRPr="00DD0ED3" w14:paraId="101B9CA6" w14:textId="77777777" w:rsidTr="00D94CB8">
        <w:tc>
          <w:tcPr>
            <w:tcW w:w="2710" w:type="dxa"/>
            <w:shd w:val="clear" w:color="auto" w:fill="auto"/>
          </w:tcPr>
          <w:p w14:paraId="2A5BAECA" w14:textId="77777777" w:rsidR="004D5E25" w:rsidRPr="00DD0ED3" w:rsidRDefault="004D5E25" w:rsidP="00D94CB8">
            <w:pPr>
              <w:tabs>
                <w:tab w:val="left" w:pos="1995"/>
                <w:tab w:val="left" w:pos="3405"/>
              </w:tabs>
              <w:rPr>
                <w:bCs/>
              </w:rPr>
            </w:pPr>
            <w:r>
              <w:rPr>
                <w:bCs/>
              </w:rPr>
              <w:t>Schwarzach</w:t>
            </w:r>
          </w:p>
        </w:tc>
        <w:tc>
          <w:tcPr>
            <w:tcW w:w="2381" w:type="dxa"/>
            <w:shd w:val="clear" w:color="auto" w:fill="auto"/>
          </w:tcPr>
          <w:p w14:paraId="1A4D4318" w14:textId="77777777" w:rsidR="004D5E25" w:rsidRPr="00DD0ED3" w:rsidRDefault="004D5E25" w:rsidP="00D94CB8">
            <w:pPr>
              <w:tabs>
                <w:tab w:val="left" w:pos="1995"/>
                <w:tab w:val="left" w:pos="3405"/>
              </w:tabs>
              <w:jc w:val="center"/>
              <w:rPr>
                <w:bCs/>
              </w:rPr>
            </w:pPr>
            <w:proofErr w:type="spellStart"/>
            <w:r>
              <w:rPr>
                <w:bCs/>
              </w:rPr>
              <w:t>eee</w:t>
            </w:r>
            <w:proofErr w:type="spellEnd"/>
          </w:p>
        </w:tc>
        <w:tc>
          <w:tcPr>
            <w:tcW w:w="2381" w:type="dxa"/>
            <w:shd w:val="clear" w:color="auto" w:fill="auto"/>
          </w:tcPr>
          <w:p w14:paraId="21139CAE" w14:textId="77777777" w:rsidR="004D5E25" w:rsidRPr="00DD0ED3" w:rsidRDefault="004D5E25" w:rsidP="00D94CB8">
            <w:pPr>
              <w:tabs>
                <w:tab w:val="left" w:pos="1995"/>
                <w:tab w:val="left" w:pos="3405"/>
              </w:tabs>
              <w:jc w:val="center"/>
              <w:rPr>
                <w:bCs/>
              </w:rPr>
            </w:pPr>
            <w:proofErr w:type="spellStart"/>
            <w:r>
              <w:rPr>
                <w:bCs/>
              </w:rPr>
              <w:t>eee</w:t>
            </w:r>
            <w:proofErr w:type="spellEnd"/>
          </w:p>
        </w:tc>
        <w:tc>
          <w:tcPr>
            <w:tcW w:w="2150" w:type="dxa"/>
          </w:tcPr>
          <w:p w14:paraId="086E7217" w14:textId="77777777" w:rsidR="004D5E25" w:rsidRPr="004C525D" w:rsidRDefault="004D5E25" w:rsidP="00D94CB8">
            <w:pPr>
              <w:tabs>
                <w:tab w:val="left" w:pos="1995"/>
                <w:tab w:val="left" w:pos="3405"/>
              </w:tabs>
              <w:jc w:val="center"/>
              <w:rPr>
                <w:bCs/>
              </w:rPr>
            </w:pPr>
            <w:r>
              <w:rPr>
                <w:bCs/>
              </w:rPr>
              <w:t>55</w:t>
            </w:r>
          </w:p>
        </w:tc>
      </w:tr>
      <w:tr w:rsidR="004D5E25" w:rsidRPr="00DD0ED3" w14:paraId="38981A25" w14:textId="77777777" w:rsidTr="00D94CB8">
        <w:tc>
          <w:tcPr>
            <w:tcW w:w="2710" w:type="dxa"/>
            <w:shd w:val="clear" w:color="auto" w:fill="auto"/>
          </w:tcPr>
          <w:p w14:paraId="0E5539F0" w14:textId="77777777" w:rsidR="004D5E25" w:rsidRPr="00DD0ED3" w:rsidRDefault="004D5E25" w:rsidP="00D94CB8">
            <w:pPr>
              <w:tabs>
                <w:tab w:val="left" w:pos="1995"/>
                <w:tab w:val="left" w:pos="3405"/>
              </w:tabs>
              <w:rPr>
                <w:bCs/>
              </w:rPr>
            </w:pPr>
            <w:r>
              <w:rPr>
                <w:bCs/>
              </w:rPr>
              <w:t>Koblach</w:t>
            </w:r>
          </w:p>
        </w:tc>
        <w:tc>
          <w:tcPr>
            <w:tcW w:w="2381" w:type="dxa"/>
            <w:shd w:val="clear" w:color="auto" w:fill="auto"/>
          </w:tcPr>
          <w:p w14:paraId="769C776A" w14:textId="77777777" w:rsidR="004D5E25" w:rsidRPr="00DD0ED3" w:rsidRDefault="004D5E25" w:rsidP="00D94CB8">
            <w:pPr>
              <w:tabs>
                <w:tab w:val="left" w:pos="1995"/>
                <w:tab w:val="left" w:pos="3405"/>
              </w:tabs>
              <w:jc w:val="center"/>
              <w:rPr>
                <w:bCs/>
              </w:rPr>
            </w:pPr>
            <w:proofErr w:type="spellStart"/>
            <w:r>
              <w:rPr>
                <w:bCs/>
              </w:rPr>
              <w:t>eee</w:t>
            </w:r>
            <w:proofErr w:type="spellEnd"/>
          </w:p>
        </w:tc>
        <w:tc>
          <w:tcPr>
            <w:tcW w:w="2381" w:type="dxa"/>
            <w:shd w:val="clear" w:color="auto" w:fill="auto"/>
          </w:tcPr>
          <w:p w14:paraId="6B9E056E" w14:textId="77777777" w:rsidR="004D5E25" w:rsidRPr="004C525D" w:rsidRDefault="004D5E25" w:rsidP="00D94CB8">
            <w:pPr>
              <w:tabs>
                <w:tab w:val="left" w:pos="1995"/>
                <w:tab w:val="left" w:pos="3405"/>
              </w:tabs>
              <w:jc w:val="center"/>
              <w:rPr>
                <w:bCs/>
              </w:rPr>
            </w:pPr>
            <w:proofErr w:type="spellStart"/>
            <w:r>
              <w:rPr>
                <w:bCs/>
              </w:rPr>
              <w:t>eee</w:t>
            </w:r>
            <w:proofErr w:type="spellEnd"/>
          </w:p>
        </w:tc>
        <w:tc>
          <w:tcPr>
            <w:tcW w:w="2150" w:type="dxa"/>
          </w:tcPr>
          <w:p w14:paraId="28434AC4" w14:textId="77777777" w:rsidR="004D5E25" w:rsidRPr="004C525D" w:rsidRDefault="004D5E25" w:rsidP="00D94CB8">
            <w:pPr>
              <w:tabs>
                <w:tab w:val="left" w:pos="1995"/>
                <w:tab w:val="left" w:pos="3405"/>
              </w:tabs>
              <w:jc w:val="center"/>
              <w:rPr>
                <w:bCs/>
              </w:rPr>
            </w:pPr>
            <w:r>
              <w:rPr>
                <w:bCs/>
              </w:rPr>
              <w:t>57</w:t>
            </w:r>
          </w:p>
        </w:tc>
      </w:tr>
      <w:tr w:rsidR="004D5E25" w:rsidRPr="00DD0ED3" w14:paraId="3DB7EF63" w14:textId="77777777" w:rsidTr="00D94CB8">
        <w:tc>
          <w:tcPr>
            <w:tcW w:w="2710" w:type="dxa"/>
            <w:shd w:val="clear" w:color="auto" w:fill="auto"/>
          </w:tcPr>
          <w:p w14:paraId="3E2FC838" w14:textId="77777777" w:rsidR="004D5E25" w:rsidRPr="00DD0ED3" w:rsidRDefault="004D5E25" w:rsidP="00D94CB8">
            <w:pPr>
              <w:tabs>
                <w:tab w:val="left" w:pos="1995"/>
                <w:tab w:val="left" w:pos="3405"/>
              </w:tabs>
              <w:rPr>
                <w:bCs/>
              </w:rPr>
            </w:pPr>
            <w:proofErr w:type="spellStart"/>
            <w:r>
              <w:rPr>
                <w:bCs/>
              </w:rPr>
              <w:t>Gaißau</w:t>
            </w:r>
            <w:proofErr w:type="spellEnd"/>
          </w:p>
        </w:tc>
        <w:tc>
          <w:tcPr>
            <w:tcW w:w="2381" w:type="dxa"/>
            <w:shd w:val="clear" w:color="auto" w:fill="auto"/>
          </w:tcPr>
          <w:p w14:paraId="4A20F0D3" w14:textId="77777777" w:rsidR="004D5E25" w:rsidRPr="00DD0ED3" w:rsidRDefault="004D5E25" w:rsidP="00D94CB8">
            <w:pPr>
              <w:tabs>
                <w:tab w:val="left" w:pos="1995"/>
                <w:tab w:val="left" w:pos="3405"/>
              </w:tabs>
              <w:jc w:val="center"/>
              <w:rPr>
                <w:bCs/>
              </w:rPr>
            </w:pPr>
            <w:proofErr w:type="spellStart"/>
            <w:r>
              <w:rPr>
                <w:bCs/>
              </w:rPr>
              <w:t>ee</w:t>
            </w:r>
            <w:proofErr w:type="spellEnd"/>
          </w:p>
        </w:tc>
        <w:tc>
          <w:tcPr>
            <w:tcW w:w="2381" w:type="dxa"/>
            <w:shd w:val="clear" w:color="auto" w:fill="auto"/>
          </w:tcPr>
          <w:p w14:paraId="6CC39861" w14:textId="77777777" w:rsidR="004D5E25" w:rsidRPr="00DD0ED3" w:rsidRDefault="004D5E25" w:rsidP="00D94CB8">
            <w:pPr>
              <w:tabs>
                <w:tab w:val="left" w:pos="1995"/>
                <w:tab w:val="left" w:pos="3405"/>
              </w:tabs>
              <w:jc w:val="center"/>
              <w:rPr>
                <w:bCs/>
              </w:rPr>
            </w:pPr>
            <w:proofErr w:type="spellStart"/>
            <w:r>
              <w:rPr>
                <w:bCs/>
              </w:rPr>
              <w:t>eee</w:t>
            </w:r>
            <w:proofErr w:type="spellEnd"/>
          </w:p>
        </w:tc>
        <w:tc>
          <w:tcPr>
            <w:tcW w:w="2150" w:type="dxa"/>
          </w:tcPr>
          <w:p w14:paraId="26B9B741" w14:textId="77777777" w:rsidR="004D5E25" w:rsidRPr="004C525D" w:rsidRDefault="004D5E25" w:rsidP="00D94CB8">
            <w:pPr>
              <w:tabs>
                <w:tab w:val="left" w:pos="1995"/>
                <w:tab w:val="left" w:pos="3405"/>
              </w:tabs>
              <w:jc w:val="center"/>
              <w:rPr>
                <w:bCs/>
              </w:rPr>
            </w:pPr>
            <w:r>
              <w:rPr>
                <w:bCs/>
              </w:rPr>
              <w:t>58</w:t>
            </w:r>
          </w:p>
        </w:tc>
      </w:tr>
      <w:tr w:rsidR="004D5E25" w:rsidRPr="00DD0ED3" w14:paraId="5237EA41" w14:textId="77777777" w:rsidTr="00D94CB8">
        <w:tc>
          <w:tcPr>
            <w:tcW w:w="2710" w:type="dxa"/>
            <w:shd w:val="clear" w:color="auto" w:fill="auto"/>
          </w:tcPr>
          <w:p w14:paraId="54677A56" w14:textId="77777777" w:rsidR="004D5E25" w:rsidRPr="00DD0ED3" w:rsidRDefault="004D5E25" w:rsidP="00D94CB8">
            <w:pPr>
              <w:tabs>
                <w:tab w:val="left" w:pos="1995"/>
                <w:tab w:val="left" w:pos="3405"/>
              </w:tabs>
              <w:rPr>
                <w:bCs/>
              </w:rPr>
            </w:pPr>
            <w:r>
              <w:rPr>
                <w:bCs/>
              </w:rPr>
              <w:t>Sulzberg</w:t>
            </w:r>
          </w:p>
        </w:tc>
        <w:tc>
          <w:tcPr>
            <w:tcW w:w="2381" w:type="dxa"/>
            <w:shd w:val="clear" w:color="auto" w:fill="auto"/>
          </w:tcPr>
          <w:p w14:paraId="20CD1920" w14:textId="77777777" w:rsidR="004D5E25" w:rsidRPr="00DD0ED3" w:rsidRDefault="004D5E25" w:rsidP="00D94CB8">
            <w:pPr>
              <w:tabs>
                <w:tab w:val="left" w:pos="1995"/>
                <w:tab w:val="left" w:pos="3405"/>
              </w:tabs>
              <w:jc w:val="center"/>
              <w:rPr>
                <w:bCs/>
              </w:rPr>
            </w:pPr>
            <w:proofErr w:type="spellStart"/>
            <w:r>
              <w:rPr>
                <w:bCs/>
              </w:rPr>
              <w:t>eee</w:t>
            </w:r>
            <w:proofErr w:type="spellEnd"/>
          </w:p>
        </w:tc>
        <w:tc>
          <w:tcPr>
            <w:tcW w:w="2381" w:type="dxa"/>
            <w:shd w:val="clear" w:color="auto" w:fill="auto"/>
          </w:tcPr>
          <w:p w14:paraId="774998F8" w14:textId="77777777" w:rsidR="004D5E25" w:rsidRPr="00DD0ED3" w:rsidRDefault="004D5E25" w:rsidP="00D94CB8">
            <w:pPr>
              <w:tabs>
                <w:tab w:val="left" w:pos="1995"/>
                <w:tab w:val="left" w:pos="3405"/>
              </w:tabs>
              <w:jc w:val="center"/>
              <w:rPr>
                <w:bCs/>
              </w:rPr>
            </w:pPr>
            <w:proofErr w:type="spellStart"/>
            <w:r>
              <w:rPr>
                <w:bCs/>
              </w:rPr>
              <w:t>eeee</w:t>
            </w:r>
            <w:proofErr w:type="spellEnd"/>
          </w:p>
        </w:tc>
        <w:tc>
          <w:tcPr>
            <w:tcW w:w="2150" w:type="dxa"/>
          </w:tcPr>
          <w:p w14:paraId="5D7E52B6" w14:textId="77777777" w:rsidR="004D5E25" w:rsidRPr="004C525D" w:rsidRDefault="004D5E25" w:rsidP="00D94CB8">
            <w:pPr>
              <w:tabs>
                <w:tab w:val="left" w:pos="1995"/>
                <w:tab w:val="left" w:pos="3405"/>
              </w:tabs>
              <w:jc w:val="center"/>
              <w:rPr>
                <w:bCs/>
              </w:rPr>
            </w:pPr>
            <w:r>
              <w:rPr>
                <w:bCs/>
              </w:rPr>
              <w:t>65</w:t>
            </w:r>
          </w:p>
        </w:tc>
      </w:tr>
      <w:tr w:rsidR="004D5E25" w:rsidRPr="00DD0ED3" w14:paraId="660E8485" w14:textId="77777777" w:rsidTr="00D94CB8">
        <w:tc>
          <w:tcPr>
            <w:tcW w:w="2710" w:type="dxa"/>
            <w:shd w:val="clear" w:color="auto" w:fill="auto"/>
          </w:tcPr>
          <w:p w14:paraId="4622AD29" w14:textId="77777777" w:rsidR="004D5E25" w:rsidRDefault="004D5E25" w:rsidP="00D94CB8">
            <w:pPr>
              <w:tabs>
                <w:tab w:val="left" w:pos="1995"/>
                <w:tab w:val="left" w:pos="3405"/>
              </w:tabs>
              <w:rPr>
                <w:bCs/>
              </w:rPr>
            </w:pPr>
            <w:r>
              <w:rPr>
                <w:bCs/>
              </w:rPr>
              <w:t>Hard</w:t>
            </w:r>
          </w:p>
        </w:tc>
        <w:tc>
          <w:tcPr>
            <w:tcW w:w="2381" w:type="dxa"/>
            <w:shd w:val="clear" w:color="auto" w:fill="auto"/>
          </w:tcPr>
          <w:p w14:paraId="3B59C6CD" w14:textId="77777777" w:rsidR="004D5E25" w:rsidRDefault="004D5E25" w:rsidP="00D94CB8">
            <w:pPr>
              <w:tabs>
                <w:tab w:val="left" w:pos="1995"/>
                <w:tab w:val="left" w:pos="3405"/>
              </w:tabs>
              <w:jc w:val="center"/>
              <w:rPr>
                <w:bCs/>
              </w:rPr>
            </w:pPr>
            <w:proofErr w:type="spellStart"/>
            <w:r>
              <w:rPr>
                <w:bCs/>
              </w:rPr>
              <w:t>eeee</w:t>
            </w:r>
            <w:proofErr w:type="spellEnd"/>
          </w:p>
        </w:tc>
        <w:tc>
          <w:tcPr>
            <w:tcW w:w="2381" w:type="dxa"/>
            <w:shd w:val="clear" w:color="auto" w:fill="auto"/>
          </w:tcPr>
          <w:p w14:paraId="7E2C7631" w14:textId="77777777" w:rsidR="004D5E25" w:rsidRDefault="004D5E25" w:rsidP="00D94CB8">
            <w:pPr>
              <w:tabs>
                <w:tab w:val="left" w:pos="1995"/>
                <w:tab w:val="left" w:pos="3405"/>
              </w:tabs>
              <w:jc w:val="center"/>
              <w:rPr>
                <w:bCs/>
              </w:rPr>
            </w:pPr>
            <w:proofErr w:type="spellStart"/>
            <w:r>
              <w:rPr>
                <w:bCs/>
              </w:rPr>
              <w:t>eeee</w:t>
            </w:r>
            <w:proofErr w:type="spellEnd"/>
          </w:p>
        </w:tc>
        <w:tc>
          <w:tcPr>
            <w:tcW w:w="2150" w:type="dxa"/>
          </w:tcPr>
          <w:p w14:paraId="0ABF4032" w14:textId="77777777" w:rsidR="004D5E25" w:rsidRDefault="004D5E25" w:rsidP="00D94CB8">
            <w:pPr>
              <w:tabs>
                <w:tab w:val="left" w:pos="1995"/>
                <w:tab w:val="left" w:pos="3405"/>
              </w:tabs>
              <w:jc w:val="center"/>
              <w:rPr>
                <w:bCs/>
              </w:rPr>
            </w:pPr>
            <w:r>
              <w:rPr>
                <w:bCs/>
              </w:rPr>
              <w:t>66</w:t>
            </w:r>
          </w:p>
        </w:tc>
      </w:tr>
      <w:tr w:rsidR="004D5E25" w:rsidRPr="00DD0ED3" w14:paraId="1A517642" w14:textId="77777777" w:rsidTr="00D94CB8">
        <w:tc>
          <w:tcPr>
            <w:tcW w:w="2710" w:type="dxa"/>
            <w:shd w:val="clear" w:color="auto" w:fill="auto"/>
          </w:tcPr>
          <w:p w14:paraId="55FED1A9" w14:textId="77777777" w:rsidR="004D5E25" w:rsidRDefault="004D5E25" w:rsidP="00D94CB8">
            <w:pPr>
              <w:tabs>
                <w:tab w:val="left" w:pos="1995"/>
                <w:tab w:val="left" w:pos="3405"/>
              </w:tabs>
              <w:rPr>
                <w:bCs/>
              </w:rPr>
            </w:pPr>
            <w:r>
              <w:rPr>
                <w:bCs/>
              </w:rPr>
              <w:t>Nenzing</w:t>
            </w:r>
          </w:p>
        </w:tc>
        <w:tc>
          <w:tcPr>
            <w:tcW w:w="2381" w:type="dxa"/>
            <w:shd w:val="clear" w:color="auto" w:fill="auto"/>
          </w:tcPr>
          <w:p w14:paraId="2BBE1717" w14:textId="77777777" w:rsidR="004D5E25" w:rsidRDefault="004D5E25" w:rsidP="00D94CB8">
            <w:pPr>
              <w:tabs>
                <w:tab w:val="left" w:pos="1995"/>
                <w:tab w:val="left" w:pos="3405"/>
              </w:tabs>
              <w:jc w:val="center"/>
              <w:rPr>
                <w:bCs/>
              </w:rPr>
            </w:pPr>
            <w:proofErr w:type="spellStart"/>
            <w:r>
              <w:rPr>
                <w:bCs/>
              </w:rPr>
              <w:t>eeee</w:t>
            </w:r>
            <w:proofErr w:type="spellEnd"/>
          </w:p>
        </w:tc>
        <w:tc>
          <w:tcPr>
            <w:tcW w:w="2381" w:type="dxa"/>
            <w:shd w:val="clear" w:color="auto" w:fill="auto"/>
          </w:tcPr>
          <w:p w14:paraId="368886E7" w14:textId="77777777" w:rsidR="004D5E25" w:rsidRDefault="004D5E25" w:rsidP="00D94CB8">
            <w:pPr>
              <w:tabs>
                <w:tab w:val="left" w:pos="1995"/>
                <w:tab w:val="left" w:pos="3405"/>
              </w:tabs>
              <w:jc w:val="center"/>
              <w:rPr>
                <w:bCs/>
              </w:rPr>
            </w:pPr>
            <w:proofErr w:type="spellStart"/>
            <w:r>
              <w:rPr>
                <w:bCs/>
              </w:rPr>
              <w:t>eeee</w:t>
            </w:r>
            <w:proofErr w:type="spellEnd"/>
          </w:p>
        </w:tc>
        <w:tc>
          <w:tcPr>
            <w:tcW w:w="2150" w:type="dxa"/>
          </w:tcPr>
          <w:p w14:paraId="2EAC1294" w14:textId="77777777" w:rsidR="004D5E25" w:rsidRDefault="004D5E25" w:rsidP="00D94CB8">
            <w:pPr>
              <w:tabs>
                <w:tab w:val="left" w:pos="1995"/>
                <w:tab w:val="left" w:pos="3405"/>
              </w:tabs>
              <w:jc w:val="center"/>
              <w:rPr>
                <w:bCs/>
              </w:rPr>
            </w:pPr>
            <w:r>
              <w:rPr>
                <w:bCs/>
              </w:rPr>
              <w:t>70</w:t>
            </w:r>
          </w:p>
        </w:tc>
      </w:tr>
    </w:tbl>
    <w:p w14:paraId="4232882F" w14:textId="77777777" w:rsidR="004D5E25" w:rsidRDefault="004D5E25" w:rsidP="004D5E25">
      <w:pPr>
        <w:tabs>
          <w:tab w:val="left" w:pos="1995"/>
          <w:tab w:val="left" w:pos="3405"/>
        </w:tabs>
      </w:pPr>
    </w:p>
    <w:p w14:paraId="279F547C" w14:textId="77777777" w:rsidR="004D5E25" w:rsidRDefault="004D5E25" w:rsidP="004D5E25">
      <w:pPr>
        <w:tabs>
          <w:tab w:val="left" w:pos="1995"/>
          <w:tab w:val="left" w:pos="3405"/>
        </w:tabs>
      </w:pPr>
      <w:r>
        <w:rPr>
          <w:b/>
          <w:bCs/>
        </w:rPr>
        <w:t>*</w:t>
      </w:r>
      <w:r>
        <w:t>Der durchschnittliche Umsetzungsgrad der sechs Wertungskategorien (Entwicklungs- und Raumplanung, Gebäude &amp; Anlagen, interne Organisation, Kommunikation &amp; Kooperation, Mobilität, Ver- &amp; Entsorgung) in Prozent wird vereinfacht mit der „e“-Wertung dargestellt (von „e“ &lt;25% bis „</w:t>
      </w:r>
      <w:proofErr w:type="spellStart"/>
      <w:r>
        <w:t>eeeee</w:t>
      </w:r>
      <w:proofErr w:type="spellEnd"/>
      <w:r>
        <w:t>“ &gt;75%)</w:t>
      </w:r>
    </w:p>
    <w:p w14:paraId="2678D19F" w14:textId="77777777" w:rsidR="004D5E25" w:rsidRDefault="004D5E25" w:rsidP="004D5E25">
      <w:pPr>
        <w:tabs>
          <w:tab w:val="left" w:pos="1995"/>
          <w:tab w:val="left" w:pos="3405"/>
        </w:tabs>
      </w:pPr>
    </w:p>
    <w:p w14:paraId="040E7990" w14:textId="77777777" w:rsidR="004D5E25" w:rsidRPr="00616330" w:rsidRDefault="004D5E25" w:rsidP="004D5E25">
      <w:pPr>
        <w:tabs>
          <w:tab w:val="left" w:pos="1995"/>
          <w:tab w:val="left" w:pos="3405"/>
        </w:tabs>
        <w:rPr>
          <w:b/>
        </w:rPr>
      </w:pPr>
      <w:r w:rsidRPr="00616330">
        <w:rPr>
          <w:b/>
        </w:rPr>
        <w:t>Kommission:</w:t>
      </w:r>
    </w:p>
    <w:p w14:paraId="3A5A30A7" w14:textId="77777777" w:rsidR="004D5E25" w:rsidRDefault="004D5E25" w:rsidP="004D5E25">
      <w:pPr>
        <w:tabs>
          <w:tab w:val="left" w:pos="1995"/>
          <w:tab w:val="left" w:pos="3405"/>
        </w:tabs>
      </w:pPr>
      <w:r>
        <w:t>Mag. (FH) Karin Feurstein-Pichler, Leiterin Stabstelle Energieautonomie, Energieinstitut</w:t>
      </w:r>
    </w:p>
    <w:p w14:paraId="31093802" w14:textId="77777777" w:rsidR="004D5E25" w:rsidRPr="007A32AB" w:rsidRDefault="004D5E25" w:rsidP="004D5E25">
      <w:pPr>
        <w:tabs>
          <w:tab w:val="left" w:pos="1995"/>
          <w:tab w:val="left" w:pos="3405"/>
        </w:tabs>
      </w:pPr>
      <w:r w:rsidRPr="007A32AB">
        <w:t>DI Christian Vögel, Amt der Vorarlberger Landesregierung, Bereich Energie</w:t>
      </w:r>
    </w:p>
    <w:p w14:paraId="49B66730" w14:textId="77777777" w:rsidR="004D5E25" w:rsidRDefault="004D5E25" w:rsidP="004D5E25">
      <w:pPr>
        <w:tabs>
          <w:tab w:val="left" w:pos="1995"/>
          <w:tab w:val="left" w:pos="3405"/>
        </w:tabs>
      </w:pPr>
      <w:r w:rsidRPr="007A32AB">
        <w:t xml:space="preserve">Mag. Gregor </w:t>
      </w:r>
      <w:proofErr w:type="spellStart"/>
      <w:r w:rsidRPr="007A32AB">
        <w:t>Thenius</w:t>
      </w:r>
      <w:proofErr w:type="spellEnd"/>
      <w:r w:rsidRPr="007A32AB">
        <w:t xml:space="preserve">, </w:t>
      </w:r>
      <w:proofErr w:type="gramStart"/>
      <w:r w:rsidRPr="007A32AB">
        <w:t>Österreichische</w:t>
      </w:r>
      <w:proofErr w:type="gramEnd"/>
      <w:r w:rsidRPr="007A32AB">
        <w:t xml:space="preserve"> Energieagentur</w:t>
      </w:r>
    </w:p>
    <w:p w14:paraId="75A17AB2" w14:textId="77777777" w:rsidR="004D5E25" w:rsidRDefault="004D5E25" w:rsidP="004D5E25">
      <w:pPr>
        <w:tabs>
          <w:tab w:val="left" w:pos="1995"/>
          <w:tab w:val="left" w:pos="3405"/>
        </w:tabs>
      </w:pPr>
      <w:r>
        <w:t xml:space="preserve">Katharina </w:t>
      </w:r>
      <w:proofErr w:type="spellStart"/>
      <w:r>
        <w:t>Wöß</w:t>
      </w:r>
      <w:proofErr w:type="spellEnd"/>
      <w:r>
        <w:t>-Krall, Bürgermeisterin Marktgemeinde Rankweil</w:t>
      </w:r>
    </w:p>
    <w:p w14:paraId="4EECEBD6" w14:textId="77777777" w:rsidR="004D5E25" w:rsidRDefault="004D5E25" w:rsidP="004D5E25">
      <w:pPr>
        <w:tabs>
          <w:tab w:val="left" w:pos="1995"/>
          <w:tab w:val="left" w:pos="3405"/>
        </w:tabs>
      </w:pPr>
      <w:r>
        <w:t xml:space="preserve">Martin </w:t>
      </w:r>
      <w:proofErr w:type="spellStart"/>
      <w:r>
        <w:t>Strele</w:t>
      </w:r>
      <w:proofErr w:type="spellEnd"/>
      <w:r>
        <w:t>, Verein für Bodenfreiheit</w:t>
      </w:r>
    </w:p>
    <w:p w14:paraId="72203D3E" w14:textId="77777777" w:rsidR="004D5E25" w:rsidRPr="007A32AB" w:rsidRDefault="004D5E25" w:rsidP="004D5E25">
      <w:pPr>
        <w:tabs>
          <w:tab w:val="left" w:pos="1995"/>
          <w:tab w:val="left" w:pos="3405"/>
        </w:tabs>
      </w:pPr>
      <w:r>
        <w:t xml:space="preserve">Marcel </w:t>
      </w:r>
      <w:proofErr w:type="spellStart"/>
      <w:r>
        <w:t>Knöri</w:t>
      </w:r>
      <w:proofErr w:type="spellEnd"/>
      <w:r>
        <w:t>, Amt für Wasser und Energie, Kanton St. Gallen</w:t>
      </w:r>
    </w:p>
    <w:p w14:paraId="59DA5ED2" w14:textId="77777777" w:rsidR="004D5E25" w:rsidRDefault="004D5E25" w:rsidP="004D5E25">
      <w:pPr>
        <w:rPr>
          <w:b/>
          <w:bCs/>
        </w:rPr>
      </w:pPr>
    </w:p>
    <w:p w14:paraId="29747C53" w14:textId="77777777" w:rsidR="004D5E25" w:rsidRPr="00616330" w:rsidRDefault="004D5E25" w:rsidP="004D5E25">
      <w:pPr>
        <w:tabs>
          <w:tab w:val="left" w:pos="1995"/>
          <w:tab w:val="left" w:pos="3405"/>
        </w:tabs>
        <w:rPr>
          <w:b/>
        </w:rPr>
      </w:pPr>
      <w:r>
        <w:rPr>
          <w:b/>
        </w:rPr>
        <w:t>Auditorin:</w:t>
      </w:r>
    </w:p>
    <w:p w14:paraId="74D2546A" w14:textId="77777777" w:rsidR="004D5E25" w:rsidRPr="007A32AB" w:rsidRDefault="004D5E25" w:rsidP="004D5E25">
      <w:r w:rsidRPr="007A32AB">
        <w:t xml:space="preserve">DI Heide </w:t>
      </w:r>
      <w:proofErr w:type="spellStart"/>
      <w:r w:rsidRPr="007A32AB">
        <w:t>Rothwangl</w:t>
      </w:r>
      <w:proofErr w:type="spellEnd"/>
      <w:r w:rsidRPr="007A32AB">
        <w:t>-Heber, Energie Agentur Steiermark</w:t>
      </w:r>
    </w:p>
    <w:p w14:paraId="43FD65A9" w14:textId="77777777" w:rsidR="004D5E25" w:rsidRDefault="004D5E25" w:rsidP="004D5E25">
      <w:pPr>
        <w:rPr>
          <w:b/>
          <w:bCs/>
        </w:rPr>
      </w:pPr>
    </w:p>
    <w:p w14:paraId="6B31E7AC" w14:textId="77777777" w:rsidR="004D5E25" w:rsidRDefault="004D5E25" w:rsidP="004D5E25">
      <w:pPr>
        <w:rPr>
          <w:b/>
          <w:bCs/>
        </w:rPr>
      </w:pPr>
    </w:p>
    <w:p w14:paraId="7491A52C" w14:textId="77777777" w:rsidR="004D5E25" w:rsidRDefault="004D5E25" w:rsidP="004D5E25">
      <w:pPr>
        <w:rPr>
          <w:b/>
          <w:bCs/>
        </w:rPr>
      </w:pPr>
    </w:p>
    <w:p w14:paraId="127A7436" w14:textId="77777777" w:rsidR="004D5E25" w:rsidRPr="009E70CA" w:rsidRDefault="004D5E25" w:rsidP="004D5E25">
      <w:pPr>
        <w:rPr>
          <w:b/>
          <w:bCs/>
        </w:rPr>
      </w:pPr>
      <w:r w:rsidRPr="009E70CA">
        <w:rPr>
          <w:b/>
          <w:bCs/>
        </w:rPr>
        <w:t>Bildtext:</w:t>
      </w:r>
    </w:p>
    <w:p w14:paraId="7EC8EC64" w14:textId="77777777" w:rsidR="004D5E25" w:rsidRPr="00B14D1A" w:rsidRDefault="004D5E25" w:rsidP="004D5E25">
      <w:pPr>
        <w:rPr>
          <w:b/>
          <w:lang w:val="de-DE"/>
        </w:rPr>
      </w:pPr>
    </w:p>
    <w:p w14:paraId="7D21C20B" w14:textId="77777777" w:rsidR="004D5E25" w:rsidRDefault="004D5E25" w:rsidP="004D5E25">
      <w:pPr>
        <w:rPr>
          <w:bCs/>
          <w:lang w:val="de-DE"/>
        </w:rPr>
      </w:pPr>
      <w:r w:rsidRPr="00B14D1A">
        <w:rPr>
          <w:b/>
          <w:lang w:val="de-DE"/>
        </w:rPr>
        <w:t>e5-Audit-2020 Bludenz-Biodiversitaet.jpg:</w:t>
      </w:r>
      <w:r>
        <w:rPr>
          <w:bCs/>
          <w:lang w:val="de-DE"/>
        </w:rPr>
        <w:t xml:space="preserve"> </w:t>
      </w:r>
      <w:r w:rsidRPr="00B14D1A">
        <w:rPr>
          <w:bCs/>
          <w:lang w:val="de-DE"/>
        </w:rPr>
        <w:t xml:space="preserve">Die e5-Stadt Bludenz engagiert sich für Artenvielfalt und holt beim Erstaudit auf Anhieb 3 </w:t>
      </w:r>
      <w:r>
        <w:rPr>
          <w:bCs/>
          <w:lang w:val="de-DE"/>
        </w:rPr>
        <w:t>„</w:t>
      </w:r>
      <w:r w:rsidRPr="00B14D1A">
        <w:rPr>
          <w:bCs/>
          <w:lang w:val="de-DE"/>
        </w:rPr>
        <w:t>e</w:t>
      </w:r>
      <w:r>
        <w:rPr>
          <w:bCs/>
          <w:lang w:val="de-DE"/>
        </w:rPr>
        <w:t>“</w:t>
      </w:r>
      <w:r w:rsidRPr="00B14D1A">
        <w:rPr>
          <w:bCs/>
          <w:lang w:val="de-DE"/>
        </w:rPr>
        <w:t>.</w:t>
      </w:r>
      <w:r>
        <w:rPr>
          <w:bCs/>
          <w:lang w:val="de-DE"/>
        </w:rPr>
        <w:t xml:space="preserve"> (Copyright: Markus Gmeiner)</w:t>
      </w:r>
    </w:p>
    <w:p w14:paraId="131E1ACE" w14:textId="77777777" w:rsidR="004D5E25" w:rsidRDefault="004D5E25" w:rsidP="004D5E25">
      <w:pPr>
        <w:rPr>
          <w:bCs/>
          <w:lang w:val="de-DE"/>
        </w:rPr>
      </w:pPr>
    </w:p>
    <w:p w14:paraId="04F71F97" w14:textId="77777777" w:rsidR="004D5E25" w:rsidRPr="00B14D1A" w:rsidRDefault="004D5E25" w:rsidP="004D5E25">
      <w:pPr>
        <w:rPr>
          <w:b/>
          <w:lang w:val="de-DE"/>
        </w:rPr>
      </w:pPr>
      <w:r w:rsidRPr="00B14D1A">
        <w:rPr>
          <w:b/>
          <w:lang w:val="de-DE"/>
        </w:rPr>
        <w:t>e5-Audit-2020-Bludenz-Elektrogeraete.jpg:</w:t>
      </w:r>
      <w:r>
        <w:rPr>
          <w:b/>
          <w:lang w:val="de-DE"/>
        </w:rPr>
        <w:t xml:space="preserve"> </w:t>
      </w:r>
      <w:r w:rsidRPr="00B14D1A">
        <w:rPr>
          <w:bCs/>
          <w:lang w:val="de-DE"/>
        </w:rPr>
        <w:t>Im Bauhof der e5-Stadt Bludenz sind seit 2020 nur noch elektrisch betriebene Geräte im Einsatz.</w:t>
      </w:r>
      <w:r>
        <w:rPr>
          <w:bCs/>
          <w:lang w:val="de-DE"/>
        </w:rPr>
        <w:t xml:space="preserve"> (Copyright: Markus Gmeiner)</w:t>
      </w:r>
    </w:p>
    <w:p w14:paraId="178393AA" w14:textId="77777777" w:rsidR="004D5E25" w:rsidRDefault="004D5E25" w:rsidP="004D5E25">
      <w:pPr>
        <w:rPr>
          <w:bCs/>
          <w:lang w:val="de-DE"/>
        </w:rPr>
      </w:pPr>
    </w:p>
    <w:p w14:paraId="2DC48FE4" w14:textId="77777777" w:rsidR="004D5E25" w:rsidRPr="00B14D1A" w:rsidRDefault="004D5E25" w:rsidP="004D5E25">
      <w:pPr>
        <w:rPr>
          <w:bCs/>
          <w:lang w:val="de-DE"/>
        </w:rPr>
      </w:pPr>
      <w:r w:rsidRPr="00B14D1A">
        <w:rPr>
          <w:b/>
          <w:lang w:val="de-DE"/>
        </w:rPr>
        <w:t>e5-Audit-2020-Bludenz-PV-Anlagen.jpg:</w:t>
      </w:r>
      <w:r>
        <w:rPr>
          <w:b/>
          <w:lang w:val="de-DE"/>
        </w:rPr>
        <w:t xml:space="preserve"> </w:t>
      </w:r>
      <w:r w:rsidRPr="00B14D1A">
        <w:rPr>
          <w:bCs/>
          <w:lang w:val="de-DE"/>
        </w:rPr>
        <w:t>Mit Bürgerbeteiligung errichtete die e5-Stadt Bludenz mehrere PV-Anlagen auf kommunalen Gebäuden.</w:t>
      </w:r>
      <w:r>
        <w:rPr>
          <w:bCs/>
          <w:lang w:val="de-DE"/>
        </w:rPr>
        <w:t xml:space="preserve"> (Copyright: Markus Gmeiner)</w:t>
      </w:r>
    </w:p>
    <w:p w14:paraId="68D0DAF8" w14:textId="77777777" w:rsidR="004D5E25" w:rsidRDefault="004D5E25" w:rsidP="004D5E25">
      <w:pPr>
        <w:rPr>
          <w:bCs/>
          <w:lang w:val="de-DE"/>
        </w:rPr>
      </w:pPr>
    </w:p>
    <w:p w14:paraId="2F6D3E53" w14:textId="5DFC9851" w:rsidR="004D5E25" w:rsidRPr="00B14D1A" w:rsidRDefault="004D5E25" w:rsidP="004D5E25">
      <w:pPr>
        <w:rPr>
          <w:b/>
          <w:lang w:val="de-DE"/>
        </w:rPr>
      </w:pPr>
      <w:r w:rsidRPr="00587E50">
        <w:rPr>
          <w:b/>
          <w:lang w:val="de-DE"/>
        </w:rPr>
        <w:t>e5-Audit-2020-Brand-Gruppe.jpg:</w:t>
      </w:r>
      <w:r w:rsidRPr="00587E50">
        <w:rPr>
          <w:bCs/>
          <w:lang w:val="de-DE"/>
        </w:rPr>
        <w:t xml:space="preserve"> e5-Neuling Brand stieg beim Erstaudit mit 2 „e“ ein. Diese übergab Gemeindebetreuer Andreas Bertel dem e5-Team beim persönlichen Besuch. (</w:t>
      </w:r>
      <w:r w:rsidR="00891447" w:rsidRPr="00587E50">
        <w:rPr>
          <w:bCs/>
          <w:lang w:val="de-DE"/>
        </w:rPr>
        <w:t xml:space="preserve">Copyright: </w:t>
      </w:r>
      <w:r w:rsidRPr="00587E50">
        <w:rPr>
          <w:bCs/>
          <w:lang w:val="de-DE"/>
        </w:rPr>
        <w:t>Energieinstitut Vorarlberg)</w:t>
      </w:r>
    </w:p>
    <w:p w14:paraId="0CFCD504" w14:textId="77777777" w:rsidR="004D5E25" w:rsidRDefault="004D5E25" w:rsidP="004D5E25">
      <w:pPr>
        <w:rPr>
          <w:bCs/>
        </w:rPr>
      </w:pPr>
    </w:p>
    <w:p w14:paraId="5A84AC47" w14:textId="77777777" w:rsidR="004D5E25" w:rsidRPr="007C7914" w:rsidRDefault="004D5E25" w:rsidP="004D5E25">
      <w:pPr>
        <w:rPr>
          <w:bCs/>
        </w:rPr>
      </w:pPr>
      <w:r w:rsidRPr="007C7914">
        <w:rPr>
          <w:b/>
        </w:rPr>
        <w:t>e5-Audit-2020-Brand-Kindergarten.jpg:</w:t>
      </w:r>
      <w:r>
        <w:rPr>
          <w:b/>
        </w:rPr>
        <w:t xml:space="preserve"> </w:t>
      </w:r>
      <w:r w:rsidRPr="007C7914">
        <w:rPr>
          <w:bCs/>
        </w:rPr>
        <w:t>Die e5-Gemeinde Brand begeistert in verschiedenen Projekten die Jüngsten für Umweltthemen.</w:t>
      </w:r>
      <w:r>
        <w:rPr>
          <w:bCs/>
        </w:rPr>
        <w:t xml:space="preserve"> </w:t>
      </w:r>
      <w:r>
        <w:rPr>
          <w:bCs/>
          <w:lang w:val="de-DE"/>
        </w:rPr>
        <w:t>(Copyright: Markus Gmeiner)</w:t>
      </w:r>
    </w:p>
    <w:p w14:paraId="2ED217FB" w14:textId="77777777" w:rsidR="004D5E25" w:rsidRDefault="004D5E25" w:rsidP="004D5E25">
      <w:pPr>
        <w:rPr>
          <w:bCs/>
        </w:rPr>
      </w:pPr>
    </w:p>
    <w:p w14:paraId="4CEEB925" w14:textId="77777777" w:rsidR="004D5E25" w:rsidRPr="007C7914" w:rsidRDefault="004D5E25" w:rsidP="004D5E25">
      <w:pPr>
        <w:rPr>
          <w:bCs/>
          <w:lang w:val="de-DE"/>
        </w:rPr>
      </w:pPr>
      <w:r w:rsidRPr="007C7914">
        <w:rPr>
          <w:b/>
          <w:lang w:val="de-DE"/>
        </w:rPr>
        <w:t>e5-Audit-2020-Brand-Mobilitaet.jpg:</w:t>
      </w:r>
      <w:r w:rsidRPr="007C7914">
        <w:rPr>
          <w:bCs/>
          <w:lang w:val="de-DE"/>
        </w:rPr>
        <w:t xml:space="preserve"> Sanfte Mobilität</w:t>
      </w:r>
      <w:r>
        <w:rPr>
          <w:bCs/>
          <w:lang w:val="de-DE"/>
        </w:rPr>
        <w:t xml:space="preserve"> ist der e5-Gemeinde Brand wichtig. (Copyright: Markus Gmeiner)</w:t>
      </w:r>
    </w:p>
    <w:p w14:paraId="7D41ACC9" w14:textId="77777777" w:rsidR="004D5E25" w:rsidRPr="007C7914" w:rsidRDefault="004D5E25" w:rsidP="004D5E25">
      <w:pPr>
        <w:rPr>
          <w:bCs/>
          <w:lang w:val="de-DE"/>
        </w:rPr>
      </w:pPr>
    </w:p>
    <w:p w14:paraId="5B8E8DE2" w14:textId="77777777" w:rsidR="004D5E25" w:rsidRDefault="004D5E25" w:rsidP="004D5E25">
      <w:pPr>
        <w:rPr>
          <w:bCs/>
          <w:lang w:val="de-DE"/>
        </w:rPr>
      </w:pPr>
      <w:r w:rsidRPr="007C7914">
        <w:rPr>
          <w:b/>
          <w:lang w:val="de-DE"/>
        </w:rPr>
        <w:t>e5-Audit-2020-Brand-Zemmako.jpg:</w:t>
      </w:r>
      <w:r>
        <w:rPr>
          <w:bCs/>
          <w:lang w:val="de-DE"/>
        </w:rPr>
        <w:t xml:space="preserve"> </w:t>
      </w:r>
      <w:r>
        <w:rPr>
          <w:bCs/>
        </w:rPr>
        <w:t>Brand punktete beim e5-Audit 2020 unter anderem mit dem energieeffizienten und nachhaltig erbauten Volksschul- und Kindergartengebäude „</w:t>
      </w:r>
      <w:proofErr w:type="spellStart"/>
      <w:r>
        <w:rPr>
          <w:bCs/>
        </w:rPr>
        <w:t>Zemmako</w:t>
      </w:r>
      <w:proofErr w:type="spellEnd"/>
      <w:r>
        <w:rPr>
          <w:bCs/>
        </w:rPr>
        <w:t xml:space="preserve">“. </w:t>
      </w:r>
      <w:r>
        <w:rPr>
          <w:bCs/>
          <w:lang w:val="de-DE"/>
        </w:rPr>
        <w:t>(Copyright: Markus Gmeiner)</w:t>
      </w:r>
    </w:p>
    <w:p w14:paraId="06E6027A" w14:textId="77777777" w:rsidR="004D5E25" w:rsidRDefault="004D5E25" w:rsidP="004D5E25">
      <w:pPr>
        <w:rPr>
          <w:bCs/>
          <w:lang w:val="de-DE"/>
        </w:rPr>
      </w:pPr>
    </w:p>
    <w:p w14:paraId="40F9C0F6" w14:textId="7962F21C" w:rsidR="004D5E25" w:rsidRPr="00B14D1A" w:rsidRDefault="004D5E25" w:rsidP="004D5E25">
      <w:pPr>
        <w:rPr>
          <w:b/>
          <w:lang w:val="de-DE"/>
        </w:rPr>
      </w:pPr>
      <w:r w:rsidRPr="004D5E25">
        <w:rPr>
          <w:b/>
          <w:lang w:val="de-DE"/>
        </w:rPr>
        <w:t>e5-Audit-2020-Dalaas-Gruppe.jpg:</w:t>
      </w:r>
      <w:r w:rsidRPr="004D5E25">
        <w:rPr>
          <w:bCs/>
          <w:lang w:val="de-DE"/>
        </w:rPr>
        <w:t xml:space="preserve"> e5-Neuling </w:t>
      </w:r>
      <w:proofErr w:type="spellStart"/>
      <w:r w:rsidRPr="004D5E25">
        <w:rPr>
          <w:bCs/>
          <w:lang w:val="de-DE"/>
        </w:rPr>
        <w:t>Dalaas</w:t>
      </w:r>
      <w:proofErr w:type="spellEnd"/>
      <w:r w:rsidRPr="004D5E25">
        <w:rPr>
          <w:bCs/>
          <w:lang w:val="de-DE"/>
        </w:rPr>
        <w:t xml:space="preserve"> stieg beim Erstaudit mit 3 „e“ ein. Diese übergab Gemeindebetreuer Andreas Bertel dem e5-Team beim persönlichen Besuch. (</w:t>
      </w:r>
      <w:r w:rsidR="00891447">
        <w:rPr>
          <w:bCs/>
          <w:lang w:val="de-DE"/>
        </w:rPr>
        <w:t xml:space="preserve">Copyright: </w:t>
      </w:r>
      <w:r w:rsidRPr="004D5E25">
        <w:rPr>
          <w:bCs/>
          <w:lang w:val="de-DE"/>
        </w:rPr>
        <w:t>Energieinstitut Vorarlberg)</w:t>
      </w:r>
    </w:p>
    <w:p w14:paraId="486C7183" w14:textId="77777777" w:rsidR="004D5E25" w:rsidRDefault="004D5E25" w:rsidP="004D5E25">
      <w:pPr>
        <w:rPr>
          <w:bCs/>
          <w:lang w:val="de-DE"/>
        </w:rPr>
      </w:pPr>
    </w:p>
    <w:p w14:paraId="034B87C2" w14:textId="77777777" w:rsidR="004D5E25" w:rsidRDefault="004D5E25" w:rsidP="004D5E25">
      <w:pPr>
        <w:rPr>
          <w:bCs/>
          <w:lang w:val="de-DE"/>
        </w:rPr>
      </w:pPr>
      <w:r w:rsidRPr="00CF2B01">
        <w:rPr>
          <w:b/>
          <w:lang w:val="de-DE"/>
        </w:rPr>
        <w:t>e5-Audit-2020-Dalaas-alte-Wege.jpg:</w:t>
      </w:r>
      <w:r>
        <w:rPr>
          <w:bCs/>
          <w:lang w:val="de-DE"/>
        </w:rPr>
        <w:t xml:space="preserve"> Alte Wege werden in der e5-Gemeinde </w:t>
      </w:r>
      <w:proofErr w:type="spellStart"/>
      <w:r>
        <w:rPr>
          <w:bCs/>
          <w:lang w:val="de-DE"/>
        </w:rPr>
        <w:t>Dalaas</w:t>
      </w:r>
      <w:proofErr w:type="spellEnd"/>
      <w:r>
        <w:rPr>
          <w:bCs/>
          <w:lang w:val="de-DE"/>
        </w:rPr>
        <w:t xml:space="preserve"> von Ehrenamtlichen reaktiviert und gepflegt. (Copyright: Markus Gmeiner)</w:t>
      </w:r>
    </w:p>
    <w:p w14:paraId="03A3D6CD" w14:textId="77777777" w:rsidR="004D5E25" w:rsidRDefault="004D5E25" w:rsidP="004D5E25">
      <w:pPr>
        <w:rPr>
          <w:bCs/>
          <w:lang w:val="de-DE"/>
        </w:rPr>
      </w:pPr>
    </w:p>
    <w:p w14:paraId="3F74283A" w14:textId="77777777" w:rsidR="004D5E25" w:rsidRDefault="004D5E25" w:rsidP="004D5E25">
      <w:pPr>
        <w:rPr>
          <w:bCs/>
          <w:lang w:val="de-DE"/>
        </w:rPr>
      </w:pPr>
      <w:r w:rsidRPr="00CF2B01">
        <w:rPr>
          <w:b/>
          <w:lang w:val="de-DE"/>
        </w:rPr>
        <w:t>e5-Audit-2020-Dalaas-Beschluss.jpg:</w:t>
      </w:r>
      <w:r>
        <w:rPr>
          <w:bCs/>
          <w:lang w:val="de-DE"/>
        </w:rPr>
        <w:t xml:space="preserve"> Die e5-Gemeinde </w:t>
      </w:r>
      <w:proofErr w:type="spellStart"/>
      <w:r>
        <w:rPr>
          <w:bCs/>
          <w:lang w:val="de-DE"/>
        </w:rPr>
        <w:t>Dalaas</w:t>
      </w:r>
      <w:proofErr w:type="spellEnd"/>
      <w:r>
        <w:rPr>
          <w:bCs/>
          <w:lang w:val="de-DE"/>
        </w:rPr>
        <w:t xml:space="preserve"> fasste den Grundsatzbeschluss, künftige Sanierungen und Neubauten nach höchsten ökologischen und energetischen Kriterien umzusetzen. (Copyright: Markus Gmeiner)</w:t>
      </w:r>
    </w:p>
    <w:p w14:paraId="66381AEA" w14:textId="77777777" w:rsidR="004D5E25" w:rsidRDefault="004D5E25" w:rsidP="004D5E25">
      <w:pPr>
        <w:rPr>
          <w:bCs/>
          <w:lang w:val="de-DE"/>
        </w:rPr>
      </w:pPr>
    </w:p>
    <w:p w14:paraId="116D7C78" w14:textId="77777777" w:rsidR="004D5E25" w:rsidRDefault="004D5E25" w:rsidP="004D5E25">
      <w:pPr>
        <w:rPr>
          <w:bCs/>
          <w:lang w:val="de-DE"/>
        </w:rPr>
      </w:pPr>
      <w:r w:rsidRPr="00CF2B01">
        <w:rPr>
          <w:b/>
          <w:lang w:val="de-DE"/>
        </w:rPr>
        <w:t>e5-Audit-2020-Dalaas-E-Auto.jpg:</w:t>
      </w:r>
      <w:r>
        <w:rPr>
          <w:bCs/>
          <w:lang w:val="de-DE"/>
        </w:rPr>
        <w:t xml:space="preserve"> e5-Neuling </w:t>
      </w:r>
      <w:proofErr w:type="spellStart"/>
      <w:r>
        <w:rPr>
          <w:bCs/>
          <w:lang w:val="de-DE"/>
        </w:rPr>
        <w:t>Dalaas</w:t>
      </w:r>
      <w:proofErr w:type="spellEnd"/>
      <w:r>
        <w:rPr>
          <w:bCs/>
          <w:lang w:val="de-DE"/>
        </w:rPr>
        <w:t xml:space="preserve"> bietet ein Elektroauto über ein Carsharing-System an. (Copyright: Markus Gmeiner)</w:t>
      </w:r>
    </w:p>
    <w:p w14:paraId="304CCBEE" w14:textId="77777777" w:rsidR="004D5E25" w:rsidRDefault="004D5E25" w:rsidP="004D5E25">
      <w:pPr>
        <w:rPr>
          <w:bCs/>
          <w:lang w:val="de-DE"/>
        </w:rPr>
      </w:pPr>
    </w:p>
    <w:p w14:paraId="0D38361E" w14:textId="01504015" w:rsidR="004D5E25" w:rsidRPr="00B14D1A" w:rsidRDefault="004D5E25" w:rsidP="004D5E25">
      <w:pPr>
        <w:rPr>
          <w:b/>
          <w:lang w:val="de-DE"/>
        </w:rPr>
      </w:pPr>
      <w:r w:rsidRPr="003F1374">
        <w:rPr>
          <w:b/>
          <w:lang w:val="de-DE"/>
        </w:rPr>
        <w:t>e5-Audit-2020-Nenzing-Gruppe.jpg:</w:t>
      </w:r>
      <w:r w:rsidRPr="003F1374">
        <w:rPr>
          <w:bCs/>
          <w:lang w:val="de-DE"/>
        </w:rPr>
        <w:t xml:space="preserve"> Nenzing holte beim Audit 2020 erneut hervorragende 4 „e“. Gemeindebetreuer Thomas </w:t>
      </w:r>
      <w:proofErr w:type="spellStart"/>
      <w:r w:rsidRPr="003F1374">
        <w:rPr>
          <w:bCs/>
          <w:lang w:val="de-DE"/>
        </w:rPr>
        <w:t>Blaß</w:t>
      </w:r>
      <w:proofErr w:type="spellEnd"/>
      <w:r w:rsidRPr="003F1374">
        <w:rPr>
          <w:bCs/>
          <w:lang w:val="de-DE"/>
        </w:rPr>
        <w:t xml:space="preserve"> übergab diese dem e5-Team beim persönlichen Besuch. (</w:t>
      </w:r>
      <w:r w:rsidR="00891447">
        <w:rPr>
          <w:bCs/>
          <w:lang w:val="de-DE"/>
        </w:rPr>
        <w:t xml:space="preserve">Copyright: </w:t>
      </w:r>
      <w:r w:rsidRPr="003F1374">
        <w:rPr>
          <w:bCs/>
          <w:lang w:val="de-DE"/>
        </w:rPr>
        <w:t>Energieinstitut Vorarlberg)</w:t>
      </w:r>
    </w:p>
    <w:p w14:paraId="4080C968" w14:textId="77777777" w:rsidR="004D5E25" w:rsidRDefault="004D5E25" w:rsidP="004D5E25">
      <w:pPr>
        <w:rPr>
          <w:b/>
          <w:lang w:val="de-DE"/>
        </w:rPr>
      </w:pPr>
    </w:p>
    <w:p w14:paraId="27BB7093" w14:textId="77777777" w:rsidR="004D5E25" w:rsidRDefault="004D5E25" w:rsidP="004D5E25">
      <w:pPr>
        <w:rPr>
          <w:bCs/>
          <w:lang w:val="de-DE"/>
        </w:rPr>
      </w:pPr>
      <w:r w:rsidRPr="00383531">
        <w:rPr>
          <w:b/>
          <w:lang w:val="de-DE"/>
        </w:rPr>
        <w:t>e5-Audit-2020-Nenzing-Buergerbeteiligung.jpg:</w:t>
      </w:r>
      <w:r>
        <w:rPr>
          <w:bCs/>
          <w:lang w:val="de-DE"/>
        </w:rPr>
        <w:t xml:space="preserve"> e5-Neueinsteiger </w:t>
      </w:r>
      <w:proofErr w:type="spellStart"/>
      <w:r>
        <w:rPr>
          <w:bCs/>
          <w:lang w:val="de-DE"/>
        </w:rPr>
        <w:t>Dalaas</w:t>
      </w:r>
      <w:proofErr w:type="spellEnd"/>
      <w:r>
        <w:rPr>
          <w:bCs/>
          <w:lang w:val="de-DE"/>
        </w:rPr>
        <w:t xml:space="preserve"> verdiente sich unter anderem durch die rege Bürgerbeteiligung auf Anhieb 2 „e“. (Copyright: Markus Gmeiner)</w:t>
      </w:r>
    </w:p>
    <w:p w14:paraId="5CDA906A" w14:textId="77777777" w:rsidR="004D5E25" w:rsidRDefault="004D5E25" w:rsidP="004D5E25">
      <w:pPr>
        <w:rPr>
          <w:bCs/>
          <w:lang w:val="de-DE"/>
        </w:rPr>
      </w:pPr>
    </w:p>
    <w:p w14:paraId="47E32A9E" w14:textId="77777777" w:rsidR="004D5E25" w:rsidRDefault="004D5E25" w:rsidP="004D5E25">
      <w:pPr>
        <w:rPr>
          <w:bCs/>
          <w:lang w:val="de-DE"/>
        </w:rPr>
      </w:pPr>
      <w:r w:rsidRPr="005B393E">
        <w:rPr>
          <w:b/>
          <w:lang w:val="de-DE"/>
        </w:rPr>
        <w:t>e5-Audit-2020-Nenzing-Licht.jpg</w:t>
      </w:r>
      <w:r>
        <w:rPr>
          <w:bCs/>
          <w:lang w:val="de-DE"/>
        </w:rPr>
        <w:t>: Um die Sicherheit zu erhöhen und gleichzeitig den Energieverbrauch zu senken, hat Nenzing die Straßenbeleuchtung umgerüstet. (Copyright: Markus Gmeiner)</w:t>
      </w:r>
    </w:p>
    <w:p w14:paraId="70E6CFC1" w14:textId="77777777" w:rsidR="004D5E25" w:rsidRDefault="004D5E25" w:rsidP="004D5E25">
      <w:pPr>
        <w:rPr>
          <w:bCs/>
          <w:lang w:val="de-DE"/>
        </w:rPr>
      </w:pPr>
    </w:p>
    <w:p w14:paraId="61BD0F94" w14:textId="77777777" w:rsidR="004D5E25" w:rsidRDefault="004D5E25" w:rsidP="004D5E25">
      <w:pPr>
        <w:rPr>
          <w:bCs/>
          <w:lang w:val="de-DE"/>
        </w:rPr>
      </w:pPr>
      <w:r w:rsidRPr="005B393E">
        <w:rPr>
          <w:b/>
          <w:lang w:val="de-DE"/>
        </w:rPr>
        <w:t>e5-Audit-2020-Nenzing-PV-Anlage.jpg:</w:t>
      </w:r>
      <w:r>
        <w:rPr>
          <w:bCs/>
          <w:lang w:val="de-DE"/>
        </w:rPr>
        <w:t xml:space="preserve"> Drei PV-Anlagen in der 4-„e“-Gemeinde Nenzing produzieren 161.000 Kilowattstunden pro Jahr. (Copyright: Markus Gmeiner)</w:t>
      </w:r>
    </w:p>
    <w:p w14:paraId="2D0B9355" w14:textId="77777777" w:rsidR="004D5E25" w:rsidRDefault="004D5E25" w:rsidP="004D5E25">
      <w:pPr>
        <w:rPr>
          <w:bCs/>
          <w:lang w:val="de-DE"/>
        </w:rPr>
      </w:pPr>
    </w:p>
    <w:p w14:paraId="301FF34E" w14:textId="77777777" w:rsidR="004D5E25" w:rsidRPr="007C7914" w:rsidRDefault="004D5E25" w:rsidP="004D5E25">
      <w:pPr>
        <w:rPr>
          <w:bCs/>
          <w:lang w:val="de-DE"/>
        </w:rPr>
      </w:pPr>
    </w:p>
    <w:p w14:paraId="54C5BF7E" w14:textId="77777777" w:rsidR="004D5E25" w:rsidRPr="00901FD2" w:rsidRDefault="004D5E25" w:rsidP="004D5E25">
      <w:pPr>
        <w:rPr>
          <w:iCs/>
        </w:rPr>
      </w:pPr>
      <w:bookmarkStart w:id="0" w:name="_Hlk57275079"/>
      <w:r>
        <w:rPr>
          <w:iCs/>
        </w:rPr>
        <w:t xml:space="preserve">Der </w:t>
      </w:r>
      <w:r w:rsidRPr="00E545C0">
        <w:rPr>
          <w:iCs/>
        </w:rPr>
        <w:t>Abdruck</w:t>
      </w:r>
      <w:r w:rsidRPr="00E545C0">
        <w:rPr>
          <w:rFonts w:eastAsia="Arial"/>
          <w:iCs/>
        </w:rPr>
        <w:t xml:space="preserve"> </w:t>
      </w:r>
      <w:r>
        <w:rPr>
          <w:rFonts w:eastAsia="Arial"/>
          <w:iCs/>
        </w:rPr>
        <w:t xml:space="preserve">aller Fotos ist </w:t>
      </w:r>
      <w:r w:rsidRPr="00E545C0">
        <w:rPr>
          <w:iCs/>
        </w:rPr>
        <w:t>honorarfrei</w:t>
      </w:r>
      <w:r w:rsidRPr="00E545C0">
        <w:rPr>
          <w:rFonts w:eastAsia="Arial"/>
          <w:iCs/>
        </w:rPr>
        <w:t xml:space="preserve"> </w:t>
      </w:r>
      <w:r w:rsidRPr="00E545C0">
        <w:rPr>
          <w:iCs/>
        </w:rPr>
        <w:t>zur</w:t>
      </w:r>
      <w:r w:rsidRPr="00E545C0">
        <w:rPr>
          <w:rFonts w:eastAsia="Arial"/>
          <w:iCs/>
        </w:rPr>
        <w:t xml:space="preserve"> </w:t>
      </w:r>
      <w:r w:rsidRPr="00E545C0">
        <w:rPr>
          <w:iCs/>
        </w:rPr>
        <w:t>Berichterstattung</w:t>
      </w:r>
      <w:r w:rsidRPr="00E545C0">
        <w:rPr>
          <w:rFonts w:eastAsia="Arial"/>
          <w:iCs/>
        </w:rPr>
        <w:t xml:space="preserve"> </w:t>
      </w:r>
      <w:r w:rsidRPr="00E545C0">
        <w:rPr>
          <w:iCs/>
        </w:rPr>
        <w:t>über</w:t>
      </w:r>
      <w:r w:rsidRPr="00E545C0">
        <w:rPr>
          <w:rFonts w:eastAsia="Arial"/>
          <w:iCs/>
        </w:rPr>
        <w:t xml:space="preserve"> </w:t>
      </w:r>
      <w:r w:rsidRPr="00E545C0">
        <w:rPr>
          <w:iCs/>
        </w:rPr>
        <w:t>das</w:t>
      </w:r>
      <w:r w:rsidRPr="00E545C0">
        <w:rPr>
          <w:rFonts w:eastAsia="Arial"/>
          <w:iCs/>
        </w:rPr>
        <w:t xml:space="preserve"> </w:t>
      </w:r>
      <w:r w:rsidRPr="00E545C0">
        <w:rPr>
          <w:iCs/>
        </w:rPr>
        <w:t>e5-Programm</w:t>
      </w:r>
      <w:r w:rsidRPr="00E545C0">
        <w:rPr>
          <w:rFonts w:eastAsia="Arial"/>
          <w:iCs/>
        </w:rPr>
        <w:t xml:space="preserve"> </w:t>
      </w:r>
      <w:r w:rsidRPr="00E545C0">
        <w:rPr>
          <w:iCs/>
        </w:rPr>
        <w:t>für</w:t>
      </w:r>
      <w:r w:rsidRPr="00901FD2">
        <w:rPr>
          <w:rFonts w:eastAsia="Arial"/>
          <w:iCs/>
        </w:rPr>
        <w:t xml:space="preserve"> </w:t>
      </w:r>
      <w:r w:rsidRPr="00901FD2">
        <w:rPr>
          <w:iCs/>
        </w:rPr>
        <w:t>energieeffiziente</w:t>
      </w:r>
      <w:r w:rsidRPr="00901FD2">
        <w:rPr>
          <w:rFonts w:eastAsia="Arial"/>
          <w:iCs/>
        </w:rPr>
        <w:t xml:space="preserve"> </w:t>
      </w:r>
      <w:r w:rsidRPr="00901FD2">
        <w:rPr>
          <w:iCs/>
        </w:rPr>
        <w:t>Gemeinden.</w:t>
      </w:r>
      <w:r w:rsidRPr="00901FD2">
        <w:rPr>
          <w:rFonts w:eastAsia="Arial"/>
          <w:iCs/>
        </w:rPr>
        <w:t xml:space="preserve"> </w:t>
      </w:r>
      <w:r w:rsidRPr="00901FD2">
        <w:rPr>
          <w:iCs/>
        </w:rPr>
        <w:t>Angabe</w:t>
      </w:r>
      <w:r w:rsidRPr="00901FD2">
        <w:rPr>
          <w:rFonts w:eastAsia="Arial"/>
          <w:iCs/>
        </w:rPr>
        <w:t xml:space="preserve"> </w:t>
      </w:r>
      <w:r w:rsidRPr="00901FD2">
        <w:rPr>
          <w:iCs/>
        </w:rPr>
        <w:t>des</w:t>
      </w:r>
      <w:r w:rsidRPr="00901FD2">
        <w:rPr>
          <w:rFonts w:eastAsia="Arial"/>
          <w:iCs/>
        </w:rPr>
        <w:t xml:space="preserve"> </w:t>
      </w:r>
      <w:r w:rsidRPr="00901FD2">
        <w:rPr>
          <w:iCs/>
        </w:rPr>
        <w:t>Bildnachweises</w:t>
      </w:r>
      <w:r w:rsidRPr="00901FD2">
        <w:rPr>
          <w:rFonts w:eastAsia="Arial"/>
          <w:iCs/>
        </w:rPr>
        <w:t xml:space="preserve"> </w:t>
      </w:r>
      <w:r w:rsidRPr="00901FD2">
        <w:rPr>
          <w:iCs/>
        </w:rPr>
        <w:t>ist</w:t>
      </w:r>
      <w:r w:rsidRPr="00901FD2">
        <w:rPr>
          <w:rFonts w:eastAsia="Arial"/>
          <w:iCs/>
        </w:rPr>
        <w:t xml:space="preserve"> </w:t>
      </w:r>
      <w:r w:rsidRPr="00901FD2">
        <w:rPr>
          <w:iCs/>
        </w:rPr>
        <w:t>Voraussetzung.</w:t>
      </w:r>
    </w:p>
    <w:bookmarkEnd w:id="0"/>
    <w:p w14:paraId="41501B8A" w14:textId="77777777" w:rsidR="004D5E25" w:rsidRDefault="004D5E25" w:rsidP="004D5E25">
      <w:pPr>
        <w:pStyle w:val="Pzwei"/>
        <w:rPr>
          <w:b/>
          <w:bCs/>
          <w:iCs/>
        </w:rPr>
      </w:pPr>
    </w:p>
    <w:p w14:paraId="393D6403" w14:textId="77777777" w:rsidR="004D5E25" w:rsidRDefault="004D5E25" w:rsidP="004D5E25">
      <w:pPr>
        <w:pStyle w:val="Pzwei"/>
        <w:rPr>
          <w:b/>
          <w:bCs/>
          <w:iCs/>
        </w:rPr>
      </w:pPr>
    </w:p>
    <w:p w14:paraId="033289A1" w14:textId="77777777" w:rsidR="004D5E25" w:rsidRDefault="004D5E25" w:rsidP="004D5E25">
      <w:pPr>
        <w:pStyle w:val="Pzwei"/>
        <w:rPr>
          <w:b/>
          <w:bCs/>
          <w:iCs/>
        </w:rPr>
      </w:pPr>
      <w:r>
        <w:rPr>
          <w:b/>
          <w:bCs/>
          <w:iCs/>
        </w:rPr>
        <w:t>Rückfragehinweis</w:t>
      </w:r>
      <w:r>
        <w:rPr>
          <w:rFonts w:eastAsia="Arial"/>
          <w:b/>
          <w:bCs/>
          <w:iCs/>
        </w:rPr>
        <w:t xml:space="preserve"> </w:t>
      </w:r>
      <w:r>
        <w:rPr>
          <w:b/>
          <w:bCs/>
          <w:iCs/>
        </w:rPr>
        <w:t>für</w:t>
      </w:r>
      <w:r>
        <w:rPr>
          <w:rFonts w:eastAsia="Arial"/>
          <w:b/>
          <w:bCs/>
          <w:iCs/>
        </w:rPr>
        <w:t xml:space="preserve"> </w:t>
      </w:r>
      <w:r>
        <w:rPr>
          <w:b/>
          <w:bCs/>
          <w:iCs/>
        </w:rPr>
        <w:t>die</w:t>
      </w:r>
      <w:r>
        <w:rPr>
          <w:rFonts w:eastAsia="Arial"/>
          <w:b/>
          <w:bCs/>
          <w:iCs/>
        </w:rPr>
        <w:t xml:space="preserve"> </w:t>
      </w:r>
      <w:r>
        <w:rPr>
          <w:b/>
          <w:bCs/>
          <w:iCs/>
        </w:rPr>
        <w:t>Redaktionen:</w:t>
      </w:r>
    </w:p>
    <w:p w14:paraId="44D6A45A" w14:textId="77777777" w:rsidR="004D5E25" w:rsidRDefault="004D5E25" w:rsidP="004D5E25">
      <w:pPr>
        <w:pStyle w:val="Pzwei"/>
        <w:rPr>
          <w:bCs/>
          <w:iCs/>
        </w:rPr>
      </w:pPr>
      <w:r>
        <w:rPr>
          <w:bCs/>
          <w:iCs/>
        </w:rPr>
        <w:t>Energieinstitut</w:t>
      </w:r>
      <w:r>
        <w:rPr>
          <w:rFonts w:eastAsia="Arial"/>
          <w:bCs/>
          <w:iCs/>
        </w:rPr>
        <w:t xml:space="preserve"> </w:t>
      </w:r>
      <w:r>
        <w:rPr>
          <w:bCs/>
          <w:iCs/>
        </w:rPr>
        <w:t>Vorarlberg, e5-Programmleiter Gregor Sellner, Telefon 05572/31202-25,</w:t>
      </w:r>
      <w:r>
        <w:rPr>
          <w:rFonts w:eastAsia="Arial"/>
          <w:iCs/>
        </w:rPr>
        <w:t xml:space="preserve"> </w:t>
      </w:r>
      <w:r>
        <w:rPr>
          <w:iCs/>
        </w:rPr>
        <w:br/>
      </w:r>
      <w:r>
        <w:rPr>
          <w:bCs/>
          <w:iCs/>
        </w:rPr>
        <w:t>Mail</w:t>
      </w:r>
      <w:r>
        <w:rPr>
          <w:rFonts w:eastAsia="Arial"/>
          <w:bCs/>
          <w:iCs/>
        </w:rPr>
        <w:t xml:space="preserve"> </w:t>
      </w:r>
      <w:hyperlink r:id="rId7" w:history="1">
        <w:r w:rsidRPr="00DE5D8F">
          <w:rPr>
            <w:rStyle w:val="Hyperlink"/>
          </w:rPr>
          <w:t>gregor.sellner@energieinstitut.at</w:t>
        </w:r>
      </w:hyperlink>
      <w:r>
        <w:t xml:space="preserve"> </w:t>
      </w:r>
    </w:p>
    <w:p w14:paraId="796BF9BE" w14:textId="77777777" w:rsidR="004D5E25" w:rsidRDefault="004D5E25" w:rsidP="004D5E25">
      <w:pPr>
        <w:pStyle w:val="Pzwei"/>
      </w:pPr>
      <w:r>
        <w:rPr>
          <w:bCs/>
          <w:iCs/>
        </w:rPr>
        <w:t>Pzwei.</w:t>
      </w:r>
      <w:r>
        <w:rPr>
          <w:rFonts w:eastAsia="Arial"/>
          <w:bCs/>
          <w:iCs/>
        </w:rPr>
        <w:t xml:space="preserve"> </w:t>
      </w:r>
      <w:r>
        <w:rPr>
          <w:bCs/>
          <w:iCs/>
        </w:rPr>
        <w:t>Pressearbeit, Daniela</w:t>
      </w:r>
      <w:r>
        <w:rPr>
          <w:rFonts w:eastAsia="Arial"/>
          <w:bCs/>
          <w:iCs/>
        </w:rPr>
        <w:t xml:space="preserve"> </w:t>
      </w:r>
      <w:r>
        <w:rPr>
          <w:bCs/>
          <w:iCs/>
        </w:rPr>
        <w:t>Kaulfus, Telefon</w:t>
      </w:r>
      <w:r>
        <w:rPr>
          <w:rFonts w:eastAsia="Arial"/>
          <w:bCs/>
          <w:iCs/>
        </w:rPr>
        <w:t xml:space="preserve"> 05574/44715-28</w:t>
      </w:r>
      <w:r>
        <w:rPr>
          <w:bCs/>
          <w:iCs/>
        </w:rPr>
        <w:t>,</w:t>
      </w:r>
      <w:r>
        <w:rPr>
          <w:rFonts w:eastAsia="Arial"/>
          <w:bCs/>
          <w:iCs/>
        </w:rPr>
        <w:t xml:space="preserve"> </w:t>
      </w:r>
      <w:r>
        <w:rPr>
          <w:bCs/>
          <w:iCs/>
        </w:rPr>
        <w:t>Mail</w:t>
      </w:r>
      <w:r>
        <w:rPr>
          <w:rFonts w:eastAsia="Arial"/>
          <w:bCs/>
          <w:iCs/>
        </w:rPr>
        <w:t xml:space="preserve"> </w:t>
      </w:r>
      <w:hyperlink r:id="rId8" w:history="1">
        <w:r>
          <w:rPr>
            <w:rStyle w:val="Hyperlink"/>
          </w:rPr>
          <w:t>daniela.kaulfus@pzwei.at</w:t>
        </w:r>
      </w:hyperlink>
    </w:p>
    <w:p w14:paraId="3E58F831" w14:textId="77777777" w:rsidR="006F71A7" w:rsidRPr="004D5E25" w:rsidRDefault="006F71A7" w:rsidP="004D5E25"/>
    <w:sectPr w:rsidR="006F71A7" w:rsidRPr="004D5E25" w:rsidSect="005A7E22">
      <w:headerReference w:type="even" r:id="rId9"/>
      <w:headerReference w:type="default" r:id="rId10"/>
      <w:pgSz w:w="12240" w:h="15840"/>
      <w:pgMar w:top="418" w:right="1417" w:bottom="1134" w:left="1417" w:header="113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9A16" w14:textId="77777777" w:rsidR="00EE3780" w:rsidRDefault="00EE3780">
      <w:pPr>
        <w:spacing w:line="240" w:lineRule="auto"/>
      </w:pPr>
      <w:r>
        <w:separator/>
      </w:r>
    </w:p>
  </w:endnote>
  <w:endnote w:type="continuationSeparator" w:id="0">
    <w:p w14:paraId="559DE10C" w14:textId="77777777" w:rsidR="00EE3780" w:rsidRDefault="00EE3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E604" w14:textId="77777777" w:rsidR="00EE3780" w:rsidRDefault="00EE3780">
      <w:pPr>
        <w:spacing w:line="240" w:lineRule="auto"/>
      </w:pPr>
      <w:r>
        <w:separator/>
      </w:r>
    </w:p>
  </w:footnote>
  <w:footnote w:type="continuationSeparator" w:id="0">
    <w:p w14:paraId="59D681B3" w14:textId="77777777" w:rsidR="00EE3780" w:rsidRDefault="00EE37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B267" w14:textId="77777777" w:rsidR="00F10FB6" w:rsidRDefault="004D5E25" w:rsidP="005A7E22">
    <w:pPr>
      <w:pStyle w:val="Kopfzeile"/>
      <w:jc w:val="center"/>
    </w:pPr>
    <w:r>
      <w:rPr>
        <w:noProof/>
        <w:lang w:eastAsia="de-AT"/>
      </w:rPr>
      <w:drawing>
        <wp:inline distT="0" distB="0" distL="0" distR="0" wp14:anchorId="6CAE82FD" wp14:editId="7DE4254F">
          <wp:extent cx="2529205" cy="601345"/>
          <wp:effectExtent l="0" t="0" r="444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601345"/>
                  </a:xfrm>
                  <a:prstGeom prst="rect">
                    <a:avLst/>
                  </a:prstGeom>
                  <a:solidFill>
                    <a:srgbClr val="FFFFFF"/>
                  </a:solidFill>
                  <a:ln>
                    <a:noFill/>
                  </a:ln>
                </pic:spPr>
              </pic:pic>
            </a:graphicData>
          </a:graphic>
        </wp:inline>
      </w:drawing>
    </w:r>
  </w:p>
  <w:p w14:paraId="23C1102E" w14:textId="77777777" w:rsidR="00F10FB6" w:rsidRDefault="00EE3780" w:rsidP="005A7E22">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EF7D" w14:textId="77777777" w:rsidR="00F10FB6" w:rsidRDefault="004D5E25">
    <w:pPr>
      <w:pStyle w:val="Kopfzeile"/>
      <w:jc w:val="center"/>
    </w:pPr>
    <w:r>
      <w:rPr>
        <w:noProof/>
        <w:lang w:eastAsia="de-AT"/>
      </w:rPr>
      <w:drawing>
        <wp:inline distT="0" distB="0" distL="0" distR="0" wp14:anchorId="34783C37" wp14:editId="03AACED8">
          <wp:extent cx="2529205" cy="601345"/>
          <wp:effectExtent l="0" t="0" r="444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60134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25"/>
    <w:rsid w:val="000F3C9A"/>
    <w:rsid w:val="00277709"/>
    <w:rsid w:val="0028065D"/>
    <w:rsid w:val="002D255A"/>
    <w:rsid w:val="004D5E25"/>
    <w:rsid w:val="00587E50"/>
    <w:rsid w:val="006077DC"/>
    <w:rsid w:val="006C5AE1"/>
    <w:rsid w:val="006F71A7"/>
    <w:rsid w:val="00863F1C"/>
    <w:rsid w:val="00891447"/>
    <w:rsid w:val="00911761"/>
    <w:rsid w:val="00CD6512"/>
    <w:rsid w:val="00DA7E49"/>
    <w:rsid w:val="00EE3780"/>
    <w:rsid w:val="00F51E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A55F"/>
  <w15:chartTrackingRefBased/>
  <w15:docId w15:val="{C9BB5593-963A-4583-A960-4A9895B1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E25"/>
    <w:pPr>
      <w:suppressAutoHyphens/>
      <w:spacing w:after="0" w:line="290" w:lineRule="atLeast"/>
    </w:pPr>
    <w:rPr>
      <w:rFonts w:ascii="Arial" w:eastAsia="Times New Roman" w:hAnsi="Arial" w:cs="Arial"/>
      <w:w w:val="104"/>
      <w:sz w:val="21"/>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5E25"/>
    <w:rPr>
      <w:color w:val="0000FF"/>
      <w:u w:val="single"/>
    </w:rPr>
  </w:style>
  <w:style w:type="paragraph" w:customStyle="1" w:styleId="Pzwei">
    <w:name w:val="Pzwei"/>
    <w:basedOn w:val="Standard"/>
    <w:rsid w:val="004D5E25"/>
  </w:style>
  <w:style w:type="paragraph" w:styleId="Kopfzeile">
    <w:name w:val="header"/>
    <w:basedOn w:val="Standard"/>
    <w:link w:val="KopfzeileZchn"/>
    <w:rsid w:val="004D5E25"/>
    <w:pPr>
      <w:suppressLineNumbers/>
      <w:tabs>
        <w:tab w:val="center" w:pos="4703"/>
        <w:tab w:val="right" w:pos="9406"/>
      </w:tabs>
    </w:pPr>
  </w:style>
  <w:style w:type="character" w:customStyle="1" w:styleId="KopfzeileZchn">
    <w:name w:val="Kopfzeile Zchn"/>
    <w:basedOn w:val="Absatz-Standardschriftart"/>
    <w:link w:val="Kopfzeile"/>
    <w:rsid w:val="004D5E25"/>
    <w:rPr>
      <w:rFonts w:ascii="Arial" w:eastAsia="Times New Roman" w:hAnsi="Arial" w:cs="Arial"/>
      <w:w w:val="104"/>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kaulfus@pzwei.at" TargetMode="External"/><Relationship Id="rId3" Type="http://schemas.openxmlformats.org/officeDocument/2006/relationships/webSettings" Target="webSettings.xml"/><Relationship Id="rId7" Type="http://schemas.openxmlformats.org/officeDocument/2006/relationships/hyperlink" Target="mailto:gregor.sellner@energieinstitut.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ieinstitut.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Melitta Gassner</dc:creator>
  <cp:keywords/>
  <dc:description/>
  <cp:lastModifiedBy>Daniela Kaulfus</cp:lastModifiedBy>
  <cp:revision>8</cp:revision>
  <dcterms:created xsi:type="dcterms:W3CDTF">2020-11-25T12:16:00Z</dcterms:created>
  <dcterms:modified xsi:type="dcterms:W3CDTF">2020-11-30T14:40:00Z</dcterms:modified>
</cp:coreProperties>
</file>